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66554">
      <w:pPr>
        <w:ind w:firstLine="0" w:firstLineChars="0"/>
        <w:jc w:val="both"/>
        <w:rPr>
          <w:sz w:val="28"/>
          <w:szCs w:val="28"/>
        </w:rPr>
      </w:pPr>
    </w:p>
    <w:p w14:paraId="58B4AF7A">
      <w:pPr>
        <w:ind w:left="0" w:leftChars="0" w:firstLine="0" w:firstLineChars="0"/>
        <w:jc w:val="center"/>
        <w:rPr>
          <w:rFonts w:hint="eastAsia" w:ascii="方正小标宋简体" w:hAnsi="方正小标宋简体" w:eastAsia="方正小标宋简体" w:cs="方正小标宋简体"/>
          <w:sz w:val="40"/>
          <w:szCs w:val="40"/>
        </w:rPr>
      </w:pPr>
    </w:p>
    <w:p w14:paraId="04E738FD">
      <w:pPr>
        <w:ind w:left="0" w:leftChars="0" w:firstLine="0" w:firstLineChars="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晋城市生态环境分区管控动态更新成果</w:t>
      </w:r>
    </w:p>
    <w:p w14:paraId="04ACA1EE">
      <w:pPr>
        <w:ind w:left="0" w:leftChars="0" w:firstLine="0" w:firstLineChars="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（征求意见稿）</w:t>
      </w:r>
    </w:p>
    <w:p w14:paraId="71CDA26B">
      <w:pPr>
        <w:ind w:firstLine="560"/>
        <w:rPr>
          <w:rFonts w:hint="eastAsia" w:eastAsia="仿宋_GB2312" w:cs="Times New Roman"/>
          <w:sz w:val="28"/>
          <w:szCs w:val="28"/>
        </w:rPr>
      </w:pPr>
    </w:p>
    <w:p w14:paraId="15E22229">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生态环境部办公厅印发的《2023年生态环境分区管控成果动态更新工作方案》（环办环评函〔2023〕81号）和山西省生态环境厅印发的《山西省生态环境分区管控成果动态更新工作方案》（晋环函〔2023〕149号）要求，我市对生态环境分区管控成果进行动态更新。</w:t>
      </w:r>
    </w:p>
    <w:p w14:paraId="460CA932">
      <w:pPr>
        <w:ind w:firstLine="640" w:firstLineChars="200"/>
        <w:rPr>
          <w:rFonts w:ascii="黑体" w:hAnsi="黑体" w:eastAsia="黑体" w:cs="Times New Roman"/>
          <w:sz w:val="32"/>
          <w:szCs w:val="28"/>
        </w:rPr>
      </w:pPr>
      <w:r>
        <w:rPr>
          <w:rFonts w:hint="eastAsia" w:ascii="黑体" w:hAnsi="黑体" w:eastAsia="黑体" w:cs="Times New Roman"/>
          <w:sz w:val="32"/>
          <w:szCs w:val="28"/>
        </w:rPr>
        <w:t>一、总体要求</w:t>
      </w:r>
    </w:p>
    <w:p w14:paraId="7EFD5821">
      <w:pPr>
        <w:ind w:firstLine="56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坚守底线，保持稳定。</w:t>
      </w:r>
      <w:r>
        <w:rPr>
          <w:rFonts w:hint="eastAsia" w:ascii="仿宋_GB2312" w:hAnsi="仿宋_GB2312" w:eastAsia="仿宋_GB2312" w:cs="仿宋_GB2312"/>
          <w:sz w:val="32"/>
          <w:szCs w:val="32"/>
        </w:rPr>
        <w:t>动态更新以生态功能不降低、环境质量不下降、资源环境承载能力不突破底线，原则上优先保护单元的空间格局保持基本稳定，重点管控单元的空间格局与环境治理格局相匹配，生态环境准入清单管理要求保持一定的延续性。</w:t>
      </w:r>
    </w:p>
    <w:p w14:paraId="77E3A8D4">
      <w:pPr>
        <w:ind w:firstLine="56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立足实际，提升效能。</w:t>
      </w:r>
      <w:r>
        <w:rPr>
          <w:rFonts w:hint="eastAsia" w:ascii="仿宋_GB2312" w:hAnsi="仿宋_GB2312" w:eastAsia="仿宋_GB2312" w:cs="仿宋_GB2312"/>
          <w:sz w:val="32"/>
          <w:szCs w:val="32"/>
        </w:rPr>
        <w:t>根据国家生态保护红线、环境质量底线和资源利用上线的最新要求，结合地方实际，分区分类动态更新生态环境分区管控方案相关成果，提升成果时效性和针对性。</w:t>
      </w:r>
    </w:p>
    <w:p w14:paraId="174D12E3">
      <w:pPr>
        <w:ind w:firstLine="56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依法依规，科学规范。</w:t>
      </w:r>
      <w:r>
        <w:rPr>
          <w:rFonts w:hint="eastAsia" w:ascii="仿宋_GB2312" w:hAnsi="仿宋_GB2312" w:eastAsia="仿宋_GB2312" w:cs="仿宋_GB2312"/>
          <w:sz w:val="32"/>
          <w:szCs w:val="32"/>
        </w:rPr>
        <w:t>动态更新以相关法律法规、技术规范为依据。上位法律法规有新规定的，从其规定并联动更新；因重大发展战略、生态环境保护目标等发生变化而需对管控单元、管控要求进行优化的，组织科学论证后更新。</w:t>
      </w:r>
    </w:p>
    <w:p w14:paraId="4279872A">
      <w:pPr>
        <w:ind w:firstLine="640" w:firstLineChars="200"/>
        <w:rPr>
          <w:rFonts w:ascii="黑体" w:hAnsi="黑体" w:eastAsia="黑体" w:cs="Times New Roman"/>
          <w:sz w:val="32"/>
          <w:szCs w:val="28"/>
        </w:rPr>
      </w:pPr>
      <w:r>
        <w:rPr>
          <w:rFonts w:hint="eastAsia" w:ascii="黑体" w:hAnsi="黑体" w:eastAsia="黑体" w:cs="Times New Roman"/>
          <w:sz w:val="32"/>
          <w:szCs w:val="28"/>
        </w:rPr>
        <w:t>二、更新结果</w:t>
      </w:r>
    </w:p>
    <w:p w14:paraId="54F293F3">
      <w:pPr>
        <w:ind w:firstLine="560"/>
        <w:rPr>
          <w:rFonts w:hint="eastAsia" w:ascii="国标楷体" w:hAnsi="国标楷体" w:eastAsia="国标楷体" w:cs="国标楷体"/>
          <w:b/>
          <w:bCs/>
          <w:sz w:val="32"/>
          <w:szCs w:val="32"/>
        </w:rPr>
      </w:pPr>
      <w:r>
        <w:rPr>
          <w:rFonts w:hint="eastAsia" w:ascii="国标楷体" w:hAnsi="国标楷体" w:eastAsia="国标楷体" w:cs="国标楷体"/>
          <w:b/>
          <w:bCs/>
          <w:sz w:val="32"/>
          <w:szCs w:val="32"/>
        </w:rPr>
        <w:t>（一）环境管控单元更新结果</w:t>
      </w:r>
    </w:p>
    <w:p w14:paraId="26A9FCAD">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晋城市国土空间总体规划（2021-2035年）》和最新法律法规、相关政策、规划，按照《生态环境分区管控动态更新技术要点（试行）》（环办环评函〔2023〕81号），开展我市生态环境分区管控动态更新工作。优先保护单元空间格局基本保持稳定，生态保护红线完全衔接《晋城市国土空间总体规划（2021-2035年）》成果，一般生态空间根据生态保护红线、城镇开发边界、工业园区、重大基础设施项目进行联动调整；重点管控单元将水环境城镇污染重点管控区、大气环境受体敏感重点管控区、高污染燃料禁燃重点管控区、大气环境布局敏感重点管控区、大气环境弱扩散重点管控区进行动态更新，确保空间格局与环境治理格局相匹配；一般管控单元按区县进行了整合，为区域统筹管理提供了支撑。此外，本次动态更新将晋城市地下水污染防治重点区划定成果纳入生态环境分区管控体系，在选址上强化了空间布局约束，推动了区域地下水生态环境保护工作的落地应用。</w:t>
      </w:r>
    </w:p>
    <w:p w14:paraId="0E2994EB">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更新后，晋城市按优先保护、重点管控、一般管控三大类划分为90个环境管控单元。其中，优先保护单元48个，面积占比40.46%；重点管控单元36个，面积占比22.66%；一般管控单元6个，面积占比36.88%。市、县级工业园区和晋城市地下水污染防治重点区划定成果作为独立图层进行单独管理。</w:t>
      </w:r>
    </w:p>
    <w:p w14:paraId="44EF18C2">
      <w:pPr>
        <w:ind w:firstLine="560"/>
        <w:rPr>
          <w:rFonts w:hint="eastAsia" w:ascii="国标楷体" w:hAnsi="国标楷体" w:eastAsia="国标楷体" w:cs="国标楷体"/>
          <w:b/>
          <w:bCs/>
          <w:sz w:val="32"/>
          <w:szCs w:val="32"/>
        </w:rPr>
      </w:pPr>
      <w:r>
        <w:rPr>
          <w:rFonts w:hint="eastAsia" w:ascii="国标楷体" w:hAnsi="国标楷体" w:eastAsia="国标楷体" w:cs="国标楷体"/>
          <w:b/>
          <w:bCs/>
          <w:sz w:val="32"/>
          <w:szCs w:val="32"/>
        </w:rPr>
        <w:t>（二）生态环境准入清单更新结果</w:t>
      </w:r>
    </w:p>
    <w:p w14:paraId="297CE4D6">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准入清单保持一定的延续性，维持“省级总体管控要求—重点区域、重点流域总体管控要求—市级总体管控要求—单元管控要求”四个层级框架，坚持目标和问题导向，以区域生态环境质量改善目标为核心，实施差异化管理。</w:t>
      </w:r>
    </w:p>
    <w:p w14:paraId="6B89A2A8">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人民政府、晋城经济技术开发区管委会、市级有关部门、有关单位要按照本次动态更新成果，深入实施生态环境分区管控制度，将生态环境分区管控成果充分应用在服务我市重大发展战略实施的全过程，应用在治水、治气、治土、治废等生态环境治理的各方面，应用在政策制定、规划编制、产业布局、工业园区管理、用地审批、项目建设等重要领域，发挥生态环境分区管控的底线约束和决策支持作用，保障我市经济社会绿色低碳高质量发展。</w:t>
      </w:r>
    </w:p>
    <w:p w14:paraId="32B642BE">
      <w:pPr>
        <w:ind w:firstLine="0" w:firstLineChars="0"/>
        <w:rPr>
          <w:sz w:val="28"/>
          <w:szCs w:val="28"/>
        </w:rPr>
      </w:pPr>
    </w:p>
    <w:p w14:paraId="338CF81B">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附件：1.晋城市环境管控单元图（2023年）</w:t>
      </w:r>
    </w:p>
    <w:p w14:paraId="34969B31">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2.晋城市生态环境管控单元统计表（2023年）</w:t>
      </w:r>
    </w:p>
    <w:p w14:paraId="0E1EAEF6">
      <w:pPr>
        <w:ind w:left="1917" w:leftChars="532" w:hanging="640" w:hangingChars="200"/>
        <w:rPr>
          <w:rFonts w:hint="eastAsia" w:ascii="仿宋_GB2312" w:hAnsi="仿宋_GB2312" w:eastAsia="仿宋_GB2312" w:cs="仿宋_GB2312"/>
          <w:sz w:val="32"/>
          <w:szCs w:val="32"/>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3.晋城市生态环境准入清单市级总体管控要求（2023年）</w:t>
      </w:r>
    </w:p>
    <w:p w14:paraId="7D2887F6">
      <w:pPr>
        <w:ind w:firstLine="0" w:firstLineChars="0"/>
        <w:rPr>
          <w:sz w:val="28"/>
          <w:szCs w:val="28"/>
        </w:rPr>
        <w:sectPr>
          <w:pgSz w:w="16838" w:h="11906" w:orient="landscape"/>
          <w:pgMar w:top="1800" w:right="1440" w:bottom="1800" w:left="1440" w:header="851" w:footer="992" w:gutter="0"/>
          <w:cols w:space="425" w:num="1"/>
          <w:docGrid w:type="lines" w:linePitch="326" w:charSpace="0"/>
        </w:sectPr>
      </w:pPr>
      <w:r>
        <w:drawing>
          <wp:anchor distT="0" distB="0" distL="114300" distR="114300" simplePos="0" relativeHeight="251659264" behindDoc="0" locked="0" layoutInCell="1" allowOverlap="1">
            <wp:simplePos x="0" y="0"/>
            <wp:positionH relativeFrom="column">
              <wp:posOffset>393065</wp:posOffset>
            </wp:positionH>
            <wp:positionV relativeFrom="paragraph">
              <wp:posOffset>433070</wp:posOffset>
            </wp:positionV>
            <wp:extent cx="7898130" cy="5588635"/>
            <wp:effectExtent l="0" t="0" r="762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898130" cy="5588635"/>
                    </a:xfrm>
                    <a:prstGeom prst="rect">
                      <a:avLst/>
                    </a:prstGeom>
                    <a:noFill/>
                    <a:ln>
                      <a:noFill/>
                    </a:ln>
                  </pic:spPr>
                </pic:pic>
              </a:graphicData>
            </a:graphic>
          </wp:anchor>
        </w:drawing>
      </w:r>
      <w:r>
        <w:rPr>
          <w:rFonts w:hint="eastAsia"/>
          <w:sz w:val="28"/>
          <w:szCs w:val="28"/>
        </w:rPr>
        <w:t>附件1</w:t>
      </w:r>
    </w:p>
    <w:p w14:paraId="70906999">
      <w:pPr>
        <w:ind w:firstLine="0" w:firstLineChars="0"/>
        <w:rPr>
          <w:sz w:val="28"/>
          <w:szCs w:val="28"/>
        </w:rPr>
      </w:pPr>
      <w:r>
        <w:rPr>
          <w:rFonts w:hint="eastAsia"/>
          <w:sz w:val="28"/>
          <w:szCs w:val="28"/>
        </w:rPr>
        <w:t>附件2</w:t>
      </w:r>
    </w:p>
    <w:p w14:paraId="6E00161A">
      <w:pPr>
        <w:ind w:firstLine="0" w:firstLineChars="0"/>
        <w:rPr>
          <w:sz w:val="28"/>
          <w:szCs w:val="28"/>
        </w:rPr>
      </w:pPr>
    </w:p>
    <w:p w14:paraId="77657E80">
      <w:pPr>
        <w:ind w:firstLine="0" w:firstLineChars="0"/>
        <w:jc w:val="right"/>
        <w:rPr>
          <w:sz w:val="28"/>
          <w:szCs w:val="28"/>
        </w:rPr>
      </w:pPr>
      <w:bookmarkStart w:id="0" w:name="_Hlk173999334"/>
      <w:r>
        <w:rPr>
          <w:rFonts w:hint="eastAsia"/>
          <w:sz w:val="28"/>
          <w:szCs w:val="28"/>
        </w:rPr>
        <w:t>晋城市生态环境管控单元统计表</w:t>
      </w:r>
      <w:bookmarkEnd w:id="0"/>
      <w:r>
        <w:rPr>
          <w:rFonts w:hint="eastAsia"/>
          <w:sz w:val="28"/>
          <w:szCs w:val="28"/>
        </w:rPr>
        <w:t>（2</w:t>
      </w:r>
      <w:r>
        <w:rPr>
          <w:sz w:val="28"/>
          <w:szCs w:val="28"/>
        </w:rPr>
        <w:t>023</w:t>
      </w:r>
      <w:r>
        <w:rPr>
          <w:rFonts w:hint="eastAsia"/>
          <w:sz w:val="28"/>
          <w:szCs w:val="28"/>
        </w:rPr>
        <w:t>年）</w:t>
      </w:r>
      <w:r>
        <w:rPr>
          <w:sz w:val="28"/>
          <w:szCs w:val="28"/>
        </w:rPr>
        <w:tab/>
      </w:r>
      <w:r>
        <w:rPr>
          <w:sz w:val="28"/>
          <w:szCs w:val="28"/>
        </w:rPr>
        <w:tab/>
      </w:r>
      <w:r>
        <w:rPr>
          <w:rFonts w:hint="eastAsia"/>
          <w:sz w:val="28"/>
          <w:szCs w:val="28"/>
        </w:rPr>
        <w:t>（个）</w:t>
      </w:r>
    </w:p>
    <w:tbl>
      <w:tblPr>
        <w:tblStyle w:val="29"/>
        <w:tblW w:w="487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903"/>
        <w:gridCol w:w="1943"/>
        <w:gridCol w:w="1983"/>
        <w:gridCol w:w="1258"/>
      </w:tblGrid>
      <w:tr w14:paraId="3EAEF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7" w:type="pct"/>
            <w:shd w:val="clear" w:color="auto" w:fill="auto"/>
            <w:noWrap/>
            <w:vAlign w:val="center"/>
          </w:tcPr>
          <w:p w14:paraId="7740E11A">
            <w:pPr>
              <w:widowControl/>
              <w:spacing w:line="240" w:lineRule="auto"/>
              <w:ind w:firstLine="0" w:firstLineChars="0"/>
              <w:jc w:val="center"/>
              <w:rPr>
                <w:rFonts w:ascii="宋体" w:hAnsi="宋体" w:eastAsia="宋体" w:cs="宋体"/>
                <w:b/>
                <w:color w:val="000000"/>
                <w:kern w:val="0"/>
                <w:sz w:val="28"/>
                <w:szCs w:val="22"/>
              </w:rPr>
            </w:pPr>
            <w:r>
              <w:rPr>
                <w:rFonts w:hint="eastAsia" w:ascii="宋体" w:hAnsi="宋体" w:eastAsia="宋体" w:cs="宋体"/>
                <w:b/>
                <w:color w:val="000000"/>
                <w:kern w:val="0"/>
                <w:sz w:val="28"/>
                <w:szCs w:val="22"/>
              </w:rPr>
              <w:t>分区</w:t>
            </w:r>
          </w:p>
        </w:tc>
        <w:tc>
          <w:tcPr>
            <w:tcW w:w="1145" w:type="pct"/>
            <w:shd w:val="clear" w:color="auto" w:fill="auto"/>
            <w:noWrap/>
            <w:vAlign w:val="center"/>
          </w:tcPr>
          <w:p w14:paraId="5C0E69E0">
            <w:pPr>
              <w:widowControl/>
              <w:spacing w:line="240" w:lineRule="auto"/>
              <w:ind w:firstLine="0" w:firstLineChars="0"/>
              <w:jc w:val="center"/>
              <w:rPr>
                <w:rFonts w:ascii="宋体" w:hAnsi="宋体" w:eastAsia="宋体" w:cs="宋体"/>
                <w:b/>
                <w:color w:val="000000"/>
                <w:kern w:val="0"/>
                <w:sz w:val="28"/>
                <w:szCs w:val="22"/>
              </w:rPr>
            </w:pPr>
            <w:r>
              <w:rPr>
                <w:rFonts w:hint="eastAsia" w:ascii="宋体" w:hAnsi="宋体" w:eastAsia="宋体" w:cs="宋体"/>
                <w:b/>
                <w:color w:val="000000"/>
                <w:kern w:val="0"/>
                <w:sz w:val="28"/>
                <w:szCs w:val="22"/>
              </w:rPr>
              <w:t>优先保护单元</w:t>
            </w:r>
          </w:p>
        </w:tc>
        <w:tc>
          <w:tcPr>
            <w:tcW w:w="1169" w:type="pct"/>
            <w:shd w:val="clear" w:color="auto" w:fill="auto"/>
            <w:noWrap/>
            <w:vAlign w:val="center"/>
          </w:tcPr>
          <w:p w14:paraId="1B9404EB">
            <w:pPr>
              <w:widowControl/>
              <w:spacing w:line="240" w:lineRule="auto"/>
              <w:ind w:firstLine="0" w:firstLineChars="0"/>
              <w:jc w:val="center"/>
              <w:rPr>
                <w:rFonts w:ascii="宋体" w:hAnsi="宋体" w:eastAsia="宋体" w:cs="宋体"/>
                <w:b/>
                <w:color w:val="000000"/>
                <w:kern w:val="0"/>
                <w:sz w:val="28"/>
                <w:szCs w:val="22"/>
              </w:rPr>
            </w:pPr>
            <w:r>
              <w:rPr>
                <w:rFonts w:hint="eastAsia" w:ascii="宋体" w:hAnsi="宋体" w:eastAsia="宋体" w:cs="宋体"/>
                <w:b/>
                <w:color w:val="000000"/>
                <w:kern w:val="0"/>
                <w:sz w:val="28"/>
                <w:szCs w:val="22"/>
              </w:rPr>
              <w:t>重点管控单元</w:t>
            </w:r>
          </w:p>
        </w:tc>
        <w:tc>
          <w:tcPr>
            <w:tcW w:w="1193" w:type="pct"/>
            <w:shd w:val="clear" w:color="auto" w:fill="auto"/>
            <w:noWrap/>
            <w:vAlign w:val="center"/>
          </w:tcPr>
          <w:p w14:paraId="68CB8CB1">
            <w:pPr>
              <w:widowControl/>
              <w:spacing w:line="240" w:lineRule="auto"/>
              <w:ind w:firstLine="0" w:firstLineChars="0"/>
              <w:jc w:val="center"/>
              <w:rPr>
                <w:rFonts w:ascii="宋体" w:hAnsi="宋体" w:eastAsia="宋体" w:cs="宋体"/>
                <w:b/>
                <w:color w:val="000000"/>
                <w:kern w:val="0"/>
                <w:sz w:val="28"/>
                <w:szCs w:val="22"/>
              </w:rPr>
            </w:pPr>
            <w:r>
              <w:rPr>
                <w:rFonts w:hint="eastAsia" w:ascii="宋体" w:hAnsi="宋体" w:eastAsia="宋体" w:cs="宋体"/>
                <w:b/>
                <w:color w:val="000000"/>
                <w:kern w:val="0"/>
                <w:sz w:val="28"/>
                <w:szCs w:val="22"/>
              </w:rPr>
              <w:t>一般管控单元</w:t>
            </w:r>
          </w:p>
        </w:tc>
        <w:tc>
          <w:tcPr>
            <w:tcW w:w="757" w:type="pct"/>
            <w:shd w:val="clear" w:color="auto" w:fill="auto"/>
            <w:noWrap/>
            <w:vAlign w:val="center"/>
          </w:tcPr>
          <w:p w14:paraId="5520940E">
            <w:pPr>
              <w:widowControl/>
              <w:spacing w:line="240" w:lineRule="auto"/>
              <w:ind w:firstLine="0" w:firstLineChars="0"/>
              <w:jc w:val="center"/>
              <w:rPr>
                <w:rFonts w:ascii="宋体" w:hAnsi="宋体" w:eastAsia="宋体" w:cs="宋体"/>
                <w:b/>
                <w:color w:val="000000"/>
                <w:kern w:val="0"/>
                <w:sz w:val="28"/>
                <w:szCs w:val="22"/>
              </w:rPr>
            </w:pPr>
            <w:r>
              <w:rPr>
                <w:rFonts w:hint="eastAsia" w:ascii="宋体" w:hAnsi="宋体" w:eastAsia="宋体" w:cs="宋体"/>
                <w:b/>
                <w:color w:val="000000"/>
                <w:kern w:val="0"/>
                <w:sz w:val="28"/>
                <w:szCs w:val="22"/>
              </w:rPr>
              <w:t>合计</w:t>
            </w:r>
          </w:p>
        </w:tc>
      </w:tr>
      <w:tr w14:paraId="06DEB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7" w:type="pct"/>
            <w:shd w:val="clear" w:color="auto" w:fill="auto"/>
            <w:noWrap/>
            <w:vAlign w:val="center"/>
          </w:tcPr>
          <w:p w14:paraId="7D198FB3">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城区</w:t>
            </w:r>
          </w:p>
        </w:tc>
        <w:tc>
          <w:tcPr>
            <w:tcW w:w="1145" w:type="pct"/>
            <w:shd w:val="clear" w:color="auto" w:fill="auto"/>
            <w:noWrap/>
            <w:vAlign w:val="center"/>
          </w:tcPr>
          <w:p w14:paraId="22AD19E1">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4</w:t>
            </w:r>
          </w:p>
        </w:tc>
        <w:tc>
          <w:tcPr>
            <w:tcW w:w="1169" w:type="pct"/>
            <w:shd w:val="clear" w:color="auto" w:fill="auto"/>
            <w:noWrap/>
            <w:vAlign w:val="center"/>
          </w:tcPr>
          <w:p w14:paraId="401D2803">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5</w:t>
            </w:r>
          </w:p>
        </w:tc>
        <w:tc>
          <w:tcPr>
            <w:tcW w:w="1193" w:type="pct"/>
            <w:shd w:val="clear" w:color="auto" w:fill="auto"/>
            <w:noWrap/>
            <w:vAlign w:val="center"/>
          </w:tcPr>
          <w:p w14:paraId="608453C9">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w:t>
            </w:r>
          </w:p>
        </w:tc>
        <w:tc>
          <w:tcPr>
            <w:tcW w:w="757" w:type="pct"/>
            <w:shd w:val="clear" w:color="auto" w:fill="auto"/>
            <w:noWrap/>
            <w:vAlign w:val="center"/>
          </w:tcPr>
          <w:p w14:paraId="30FB1430">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10</w:t>
            </w:r>
          </w:p>
        </w:tc>
      </w:tr>
      <w:tr w14:paraId="587E3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7" w:type="pct"/>
            <w:shd w:val="clear" w:color="auto" w:fill="auto"/>
            <w:noWrap/>
            <w:vAlign w:val="center"/>
          </w:tcPr>
          <w:p w14:paraId="0E72BE24">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沁水县</w:t>
            </w:r>
          </w:p>
        </w:tc>
        <w:tc>
          <w:tcPr>
            <w:tcW w:w="1145" w:type="pct"/>
            <w:shd w:val="clear" w:color="auto" w:fill="auto"/>
            <w:noWrap/>
            <w:vAlign w:val="center"/>
          </w:tcPr>
          <w:p w14:paraId="726817FC">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11</w:t>
            </w:r>
          </w:p>
        </w:tc>
        <w:tc>
          <w:tcPr>
            <w:tcW w:w="1169" w:type="pct"/>
            <w:shd w:val="clear" w:color="auto" w:fill="auto"/>
            <w:noWrap/>
            <w:vAlign w:val="center"/>
          </w:tcPr>
          <w:p w14:paraId="6EC409C0">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4</w:t>
            </w:r>
          </w:p>
        </w:tc>
        <w:tc>
          <w:tcPr>
            <w:tcW w:w="1193" w:type="pct"/>
            <w:shd w:val="clear" w:color="auto" w:fill="auto"/>
            <w:noWrap/>
            <w:vAlign w:val="center"/>
          </w:tcPr>
          <w:p w14:paraId="58B66C20">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w:t>
            </w:r>
          </w:p>
        </w:tc>
        <w:tc>
          <w:tcPr>
            <w:tcW w:w="757" w:type="pct"/>
            <w:shd w:val="clear" w:color="auto" w:fill="auto"/>
            <w:noWrap/>
            <w:vAlign w:val="center"/>
          </w:tcPr>
          <w:p w14:paraId="2D067C75">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16</w:t>
            </w:r>
          </w:p>
        </w:tc>
      </w:tr>
      <w:tr w14:paraId="140C7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7" w:type="pct"/>
            <w:shd w:val="clear" w:color="auto" w:fill="auto"/>
            <w:noWrap/>
            <w:vAlign w:val="center"/>
          </w:tcPr>
          <w:p w14:paraId="69BF0B07">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阳城县</w:t>
            </w:r>
          </w:p>
        </w:tc>
        <w:tc>
          <w:tcPr>
            <w:tcW w:w="1145" w:type="pct"/>
            <w:shd w:val="clear" w:color="auto" w:fill="auto"/>
            <w:noWrap/>
            <w:vAlign w:val="center"/>
          </w:tcPr>
          <w:p w14:paraId="53BFAE54">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10</w:t>
            </w:r>
          </w:p>
        </w:tc>
        <w:tc>
          <w:tcPr>
            <w:tcW w:w="1169" w:type="pct"/>
            <w:shd w:val="clear" w:color="auto" w:fill="auto"/>
            <w:noWrap/>
            <w:vAlign w:val="center"/>
          </w:tcPr>
          <w:p w14:paraId="3B42BE45">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6</w:t>
            </w:r>
          </w:p>
        </w:tc>
        <w:tc>
          <w:tcPr>
            <w:tcW w:w="1193" w:type="pct"/>
            <w:shd w:val="clear" w:color="auto" w:fill="auto"/>
            <w:noWrap/>
            <w:vAlign w:val="center"/>
          </w:tcPr>
          <w:p w14:paraId="0A579983">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w:t>
            </w:r>
          </w:p>
        </w:tc>
        <w:tc>
          <w:tcPr>
            <w:tcW w:w="757" w:type="pct"/>
            <w:shd w:val="clear" w:color="auto" w:fill="auto"/>
            <w:noWrap/>
            <w:vAlign w:val="center"/>
          </w:tcPr>
          <w:p w14:paraId="0552339B">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17</w:t>
            </w:r>
          </w:p>
        </w:tc>
      </w:tr>
      <w:tr w14:paraId="2486D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7" w:type="pct"/>
            <w:shd w:val="clear" w:color="auto" w:fill="auto"/>
            <w:noWrap/>
            <w:vAlign w:val="center"/>
          </w:tcPr>
          <w:p w14:paraId="3D876E99">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陵川县</w:t>
            </w:r>
          </w:p>
        </w:tc>
        <w:tc>
          <w:tcPr>
            <w:tcW w:w="1145" w:type="pct"/>
            <w:shd w:val="clear" w:color="auto" w:fill="auto"/>
            <w:noWrap/>
            <w:vAlign w:val="center"/>
          </w:tcPr>
          <w:p w14:paraId="2D5A5838">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8</w:t>
            </w:r>
          </w:p>
        </w:tc>
        <w:tc>
          <w:tcPr>
            <w:tcW w:w="1169" w:type="pct"/>
            <w:shd w:val="clear" w:color="auto" w:fill="auto"/>
            <w:noWrap/>
            <w:vAlign w:val="center"/>
          </w:tcPr>
          <w:p w14:paraId="6E4EEB60">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4</w:t>
            </w:r>
          </w:p>
        </w:tc>
        <w:tc>
          <w:tcPr>
            <w:tcW w:w="1193" w:type="pct"/>
            <w:shd w:val="clear" w:color="auto" w:fill="auto"/>
            <w:noWrap/>
            <w:vAlign w:val="center"/>
          </w:tcPr>
          <w:p w14:paraId="2ACF91C4">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w:t>
            </w:r>
          </w:p>
        </w:tc>
        <w:tc>
          <w:tcPr>
            <w:tcW w:w="757" w:type="pct"/>
            <w:shd w:val="clear" w:color="auto" w:fill="auto"/>
            <w:noWrap/>
            <w:vAlign w:val="center"/>
          </w:tcPr>
          <w:p w14:paraId="5478DBB9">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13</w:t>
            </w:r>
          </w:p>
        </w:tc>
      </w:tr>
      <w:tr w14:paraId="75ACA2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7" w:type="pct"/>
            <w:shd w:val="clear" w:color="auto" w:fill="auto"/>
            <w:noWrap/>
            <w:vAlign w:val="center"/>
          </w:tcPr>
          <w:p w14:paraId="7EE75D1F">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泽州县</w:t>
            </w:r>
          </w:p>
        </w:tc>
        <w:tc>
          <w:tcPr>
            <w:tcW w:w="1145" w:type="pct"/>
            <w:shd w:val="clear" w:color="auto" w:fill="auto"/>
            <w:noWrap/>
            <w:vAlign w:val="center"/>
          </w:tcPr>
          <w:p w14:paraId="556537F6">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10</w:t>
            </w:r>
          </w:p>
        </w:tc>
        <w:tc>
          <w:tcPr>
            <w:tcW w:w="1169" w:type="pct"/>
            <w:shd w:val="clear" w:color="auto" w:fill="auto"/>
            <w:noWrap/>
            <w:vAlign w:val="center"/>
          </w:tcPr>
          <w:p w14:paraId="17C10F23">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9</w:t>
            </w:r>
          </w:p>
        </w:tc>
        <w:tc>
          <w:tcPr>
            <w:tcW w:w="1193" w:type="pct"/>
            <w:shd w:val="clear" w:color="auto" w:fill="auto"/>
            <w:noWrap/>
            <w:vAlign w:val="center"/>
          </w:tcPr>
          <w:p w14:paraId="6CC472D4">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w:t>
            </w:r>
          </w:p>
        </w:tc>
        <w:tc>
          <w:tcPr>
            <w:tcW w:w="757" w:type="pct"/>
            <w:shd w:val="clear" w:color="auto" w:fill="auto"/>
            <w:noWrap/>
            <w:vAlign w:val="center"/>
          </w:tcPr>
          <w:p w14:paraId="2599CD95">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20</w:t>
            </w:r>
          </w:p>
        </w:tc>
      </w:tr>
      <w:tr w14:paraId="76D079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7" w:type="pct"/>
            <w:shd w:val="clear" w:color="auto" w:fill="auto"/>
            <w:noWrap/>
            <w:vAlign w:val="center"/>
          </w:tcPr>
          <w:p w14:paraId="1CBED901">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高平市</w:t>
            </w:r>
          </w:p>
        </w:tc>
        <w:tc>
          <w:tcPr>
            <w:tcW w:w="1145" w:type="pct"/>
            <w:shd w:val="clear" w:color="auto" w:fill="auto"/>
            <w:noWrap/>
            <w:vAlign w:val="center"/>
          </w:tcPr>
          <w:p w14:paraId="5C6C5210">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5</w:t>
            </w:r>
          </w:p>
        </w:tc>
        <w:tc>
          <w:tcPr>
            <w:tcW w:w="1169" w:type="pct"/>
            <w:shd w:val="clear" w:color="auto" w:fill="auto"/>
            <w:noWrap/>
            <w:vAlign w:val="center"/>
          </w:tcPr>
          <w:p w14:paraId="513DFDD1">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8</w:t>
            </w:r>
          </w:p>
        </w:tc>
        <w:tc>
          <w:tcPr>
            <w:tcW w:w="1193" w:type="pct"/>
            <w:shd w:val="clear" w:color="auto" w:fill="auto"/>
            <w:noWrap/>
            <w:vAlign w:val="center"/>
          </w:tcPr>
          <w:p w14:paraId="179AE5BD">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w:t>
            </w:r>
          </w:p>
        </w:tc>
        <w:tc>
          <w:tcPr>
            <w:tcW w:w="757" w:type="pct"/>
            <w:shd w:val="clear" w:color="auto" w:fill="auto"/>
            <w:noWrap/>
            <w:vAlign w:val="center"/>
          </w:tcPr>
          <w:p w14:paraId="7365A7C7">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14</w:t>
            </w:r>
          </w:p>
        </w:tc>
      </w:tr>
      <w:tr w14:paraId="75045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7" w:type="pct"/>
            <w:shd w:val="clear" w:color="auto" w:fill="auto"/>
            <w:noWrap/>
            <w:vAlign w:val="center"/>
          </w:tcPr>
          <w:p w14:paraId="255EBBFF">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晋城市</w:t>
            </w:r>
          </w:p>
        </w:tc>
        <w:tc>
          <w:tcPr>
            <w:tcW w:w="1145" w:type="pct"/>
            <w:shd w:val="clear" w:color="auto" w:fill="auto"/>
            <w:noWrap/>
            <w:vAlign w:val="center"/>
          </w:tcPr>
          <w:p w14:paraId="0EFAAA6A">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48</w:t>
            </w:r>
          </w:p>
        </w:tc>
        <w:tc>
          <w:tcPr>
            <w:tcW w:w="1169" w:type="pct"/>
            <w:shd w:val="clear" w:color="auto" w:fill="auto"/>
            <w:noWrap/>
            <w:vAlign w:val="center"/>
          </w:tcPr>
          <w:p w14:paraId="7CFC9C17">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36</w:t>
            </w:r>
          </w:p>
        </w:tc>
        <w:tc>
          <w:tcPr>
            <w:tcW w:w="1193" w:type="pct"/>
            <w:shd w:val="clear" w:color="auto" w:fill="auto"/>
            <w:noWrap/>
            <w:vAlign w:val="center"/>
          </w:tcPr>
          <w:p w14:paraId="2DE17A6B">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6</w:t>
            </w:r>
          </w:p>
        </w:tc>
        <w:tc>
          <w:tcPr>
            <w:tcW w:w="757" w:type="pct"/>
            <w:shd w:val="clear" w:color="auto" w:fill="auto"/>
            <w:noWrap/>
            <w:vAlign w:val="center"/>
          </w:tcPr>
          <w:p w14:paraId="7DCD62B0">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90</w:t>
            </w:r>
          </w:p>
        </w:tc>
      </w:tr>
    </w:tbl>
    <w:p w14:paraId="2A50F44A">
      <w:pPr>
        <w:ind w:firstLine="0" w:firstLineChars="0"/>
        <w:rPr>
          <w:sz w:val="28"/>
          <w:szCs w:val="28"/>
        </w:rPr>
        <w:sectPr>
          <w:pgSz w:w="11906" w:h="16838"/>
          <w:pgMar w:top="1440" w:right="1800" w:bottom="1440" w:left="1800" w:header="851" w:footer="992" w:gutter="0"/>
          <w:cols w:space="425" w:num="1"/>
          <w:docGrid w:type="lines" w:linePitch="312" w:charSpace="0"/>
        </w:sectPr>
      </w:pPr>
    </w:p>
    <w:p w14:paraId="0518570E">
      <w:pPr>
        <w:ind w:firstLine="0" w:firstLineChars="0"/>
        <w:rPr>
          <w:sz w:val="28"/>
          <w:szCs w:val="28"/>
        </w:rPr>
      </w:pPr>
      <w:r>
        <w:rPr>
          <w:rFonts w:hint="eastAsia"/>
          <w:sz w:val="28"/>
          <w:szCs w:val="28"/>
        </w:rPr>
        <w:t>附件3</w:t>
      </w:r>
    </w:p>
    <w:p w14:paraId="41CEE06E">
      <w:pPr>
        <w:ind w:firstLine="482"/>
        <w:jc w:val="center"/>
        <w:rPr>
          <w:rFonts w:eastAsia="仿宋_GB2312" w:cs="Times New Roman"/>
          <w:b/>
          <w:bCs/>
          <w:szCs w:val="24"/>
        </w:rPr>
      </w:pPr>
      <w:r>
        <w:rPr>
          <w:rFonts w:hint="eastAsia" w:eastAsia="仿宋_GB2312" w:cs="Times New Roman"/>
          <w:b/>
          <w:bCs/>
          <w:szCs w:val="24"/>
        </w:rPr>
        <w:t>晋城市生态环境准入清单市级总体管控要求</w:t>
      </w:r>
    </w:p>
    <w:tbl>
      <w:tblPr>
        <w:tblStyle w:val="30"/>
        <w:tblW w:w="14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483"/>
        <w:gridCol w:w="9882"/>
        <w:gridCol w:w="2453"/>
      </w:tblGrid>
      <w:tr w14:paraId="0A24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59" w:type="dxa"/>
            <w:gridSpan w:val="2"/>
            <w:vAlign w:val="center"/>
          </w:tcPr>
          <w:p w14:paraId="73149348">
            <w:pPr>
              <w:ind w:firstLine="0" w:firstLineChars="0"/>
              <w:jc w:val="center"/>
              <w:rPr>
                <w:rFonts w:ascii="Times New Roman" w:hAnsi="Times New Roman" w:eastAsia="仿宋_GB2312" w:cs="Times New Roman"/>
                <w:b/>
              </w:rPr>
            </w:pPr>
            <w:r>
              <w:rPr>
                <w:rFonts w:ascii="Times New Roman" w:hAnsi="Times New Roman" w:eastAsia="仿宋_GB2312" w:cs="Times New Roman"/>
                <w:b/>
              </w:rPr>
              <w:t>管控类别</w:t>
            </w:r>
          </w:p>
        </w:tc>
        <w:tc>
          <w:tcPr>
            <w:tcW w:w="9882" w:type="dxa"/>
            <w:vAlign w:val="center"/>
          </w:tcPr>
          <w:p w14:paraId="4DE5F277">
            <w:pPr>
              <w:ind w:firstLine="0" w:firstLineChars="0"/>
              <w:jc w:val="center"/>
              <w:rPr>
                <w:rFonts w:ascii="Times New Roman" w:hAnsi="Times New Roman" w:eastAsia="仿宋_GB2312" w:cs="Times New Roman"/>
                <w:b/>
              </w:rPr>
            </w:pPr>
            <w:r>
              <w:rPr>
                <w:rFonts w:ascii="Times New Roman" w:hAnsi="Times New Roman" w:eastAsia="仿宋_GB2312" w:cs="Times New Roman"/>
                <w:b/>
              </w:rPr>
              <w:t>管控要求</w:t>
            </w:r>
          </w:p>
        </w:tc>
        <w:tc>
          <w:tcPr>
            <w:tcW w:w="2453" w:type="dxa"/>
            <w:vAlign w:val="center"/>
          </w:tcPr>
          <w:p w14:paraId="4DB4F0A5">
            <w:pPr>
              <w:ind w:firstLine="0" w:firstLineChars="0"/>
              <w:jc w:val="center"/>
              <w:rPr>
                <w:rFonts w:ascii="Times New Roman" w:hAnsi="Times New Roman" w:eastAsia="仿宋_GB2312" w:cs="Times New Roman"/>
                <w:b/>
              </w:rPr>
            </w:pPr>
            <w:r>
              <w:rPr>
                <w:rFonts w:ascii="Times New Roman" w:hAnsi="Times New Roman" w:eastAsia="仿宋_GB2312" w:cs="Times New Roman"/>
                <w:b/>
              </w:rPr>
              <w:t>主要依据</w:t>
            </w:r>
          </w:p>
        </w:tc>
      </w:tr>
      <w:tr w14:paraId="76A5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76" w:type="dxa"/>
            <w:vMerge w:val="restart"/>
            <w:vAlign w:val="center"/>
          </w:tcPr>
          <w:p w14:paraId="2AEB292E">
            <w:pPr>
              <w:ind w:firstLine="0" w:firstLineChars="0"/>
              <w:jc w:val="center"/>
              <w:rPr>
                <w:rFonts w:ascii="Times New Roman" w:hAnsi="Times New Roman" w:eastAsia="仿宋_GB2312" w:cs="Times New Roman"/>
              </w:rPr>
            </w:pPr>
            <w:r>
              <w:rPr>
                <w:rFonts w:ascii="Times New Roman" w:hAnsi="Times New Roman" w:eastAsia="仿宋_GB2312" w:cs="Times New Roman"/>
              </w:rPr>
              <w:t>空间布局约束</w:t>
            </w:r>
          </w:p>
        </w:tc>
        <w:tc>
          <w:tcPr>
            <w:tcW w:w="1483" w:type="dxa"/>
            <w:vMerge w:val="restart"/>
            <w:vAlign w:val="center"/>
          </w:tcPr>
          <w:p w14:paraId="568ED886">
            <w:pPr>
              <w:ind w:firstLine="0" w:firstLineChars="0"/>
              <w:jc w:val="center"/>
              <w:rPr>
                <w:rFonts w:ascii="Times New Roman" w:hAnsi="Times New Roman" w:eastAsia="仿宋_GB2312" w:cs="Times New Roman"/>
              </w:rPr>
            </w:pPr>
            <w:r>
              <w:rPr>
                <w:rFonts w:ascii="Times New Roman" w:hAnsi="Times New Roman" w:eastAsia="仿宋_GB2312" w:cs="Times New Roman"/>
              </w:rPr>
              <w:t>禁止开发建设活动的要求</w:t>
            </w:r>
          </w:p>
        </w:tc>
        <w:tc>
          <w:tcPr>
            <w:tcW w:w="9882" w:type="dxa"/>
            <w:vAlign w:val="center"/>
          </w:tcPr>
          <w:p w14:paraId="032AAE73">
            <w:pPr>
              <w:widowControl/>
              <w:ind w:firstLine="0" w:firstLineChars="0"/>
              <w:jc w:val="left"/>
              <w:rPr>
                <w:rFonts w:ascii="Times New Roman" w:hAnsi="Times New Roman" w:eastAsia="仿宋_GB2312" w:cs="Times New Roman"/>
                <w:kern w:val="0"/>
              </w:rPr>
            </w:pPr>
            <w:r>
              <w:rPr>
                <w:rFonts w:ascii="Times New Roman" w:hAnsi="Times New Roman" w:eastAsia="仿宋_GB2312" w:cs="Times New Roman"/>
                <w:kern w:val="0"/>
              </w:rPr>
              <w:t>1.禁止在人口集中地区和其他依法需要特殊保护的区域内焚烧沥青、油毡、橡胶、塑料、皮革、垃圾以及其他产生有毒有害烟尘和恶臭气体的物质。</w:t>
            </w:r>
          </w:p>
          <w:p w14:paraId="6D003B9C">
            <w:pPr>
              <w:widowControl/>
              <w:ind w:firstLine="0" w:firstLineChars="0"/>
              <w:jc w:val="left"/>
              <w:rPr>
                <w:rFonts w:ascii="Times New Roman" w:hAnsi="Times New Roman" w:eastAsia="仿宋_GB2312" w:cs="Times New Roman"/>
                <w:kern w:val="0"/>
              </w:rPr>
            </w:pPr>
            <w:r>
              <w:rPr>
                <w:rFonts w:ascii="Times New Roman" w:hAnsi="Times New Roman" w:eastAsia="仿宋_GB2312" w:cs="Times New Roman"/>
                <w:kern w:val="0"/>
              </w:rPr>
              <w:t>2.禁止任何单位和个人在本市行政区域内露天焚烧秸秆。</w:t>
            </w:r>
          </w:p>
          <w:p w14:paraId="49125115">
            <w:pPr>
              <w:widowControl/>
              <w:ind w:firstLine="0" w:firstLineChars="0"/>
              <w:jc w:val="left"/>
              <w:rPr>
                <w:rFonts w:ascii="Times New Roman" w:hAnsi="Times New Roman" w:eastAsia="仿宋_GB2312" w:cs="Times New Roman"/>
                <w:kern w:val="0"/>
              </w:rPr>
            </w:pPr>
            <w:r>
              <w:rPr>
                <w:rFonts w:ascii="Times New Roman" w:hAnsi="Times New Roman" w:eastAsia="仿宋_GB2312" w:cs="Times New Roman"/>
                <w:kern w:val="0"/>
              </w:rPr>
              <w:t>3.禁止在居民住宅楼、未配套设立专用烟道的商住综合楼以及商住综合楼内与居住层相邻的商业楼层内新建、改建、扩建产生油烟、异味、废气的餐饮服务项目。</w:t>
            </w:r>
          </w:p>
          <w:p w14:paraId="12D13D25">
            <w:pPr>
              <w:tabs>
                <w:tab w:val="left" w:pos="2865"/>
                <w:tab w:val="center" w:pos="3719"/>
              </w:tabs>
              <w:ind w:firstLine="0" w:firstLineChars="0"/>
              <w:rPr>
                <w:rFonts w:ascii="Times New Roman" w:hAnsi="Times New Roman" w:eastAsia="仿宋_GB2312" w:cs="Times New Roman"/>
              </w:rPr>
            </w:pPr>
            <w:r>
              <w:rPr>
                <w:rFonts w:ascii="Times New Roman" w:hAnsi="Times New Roman" w:eastAsia="仿宋_GB2312" w:cs="Times New Roman"/>
              </w:rPr>
              <w:t>4.禁煤区范围内除煤电、集中供热和原料用煤企业外，禁止向禁煤区运输或者在禁煤区内储存、销售、燃用散煤或者煤制品。</w:t>
            </w:r>
          </w:p>
          <w:p w14:paraId="45633F0B">
            <w:pPr>
              <w:widowControl/>
              <w:ind w:firstLine="0" w:firstLineChars="0"/>
              <w:jc w:val="left"/>
              <w:rPr>
                <w:rFonts w:ascii="Times New Roman" w:hAnsi="Times New Roman" w:eastAsia="仿宋_GB2312" w:cs="Times New Roman"/>
                <w:kern w:val="0"/>
              </w:rPr>
            </w:pPr>
            <w:r>
              <w:rPr>
                <w:rFonts w:ascii="Times New Roman" w:hAnsi="Times New Roman" w:eastAsia="仿宋_GB2312" w:cs="Times New Roman"/>
              </w:rPr>
              <w:t>5.禁止生产、销售不符合环境保护标准的商品煤和成品油。</w:t>
            </w:r>
          </w:p>
        </w:tc>
        <w:tc>
          <w:tcPr>
            <w:tcW w:w="2453" w:type="dxa"/>
            <w:vAlign w:val="center"/>
          </w:tcPr>
          <w:p w14:paraId="5505E693">
            <w:pPr>
              <w:ind w:firstLine="0" w:firstLineChars="0"/>
              <w:rPr>
                <w:rFonts w:ascii="Times New Roman" w:hAnsi="Times New Roman" w:eastAsia="仿宋_GB2312" w:cs="Times New Roman"/>
              </w:rPr>
            </w:pPr>
            <w:r>
              <w:rPr>
                <w:rFonts w:ascii="Times New Roman" w:hAnsi="Times New Roman" w:eastAsia="仿宋_GB2312" w:cs="Times New Roman"/>
              </w:rPr>
              <w:t>《晋城市大气污染防治条例》（修订）（2020年6月19日）</w:t>
            </w:r>
          </w:p>
        </w:tc>
      </w:tr>
      <w:tr w14:paraId="095F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76" w:type="dxa"/>
            <w:vMerge w:val="continue"/>
            <w:vAlign w:val="center"/>
          </w:tcPr>
          <w:p w14:paraId="2F51B84C">
            <w:pPr>
              <w:ind w:firstLine="0" w:firstLineChars="0"/>
              <w:jc w:val="center"/>
              <w:rPr>
                <w:rFonts w:ascii="Times New Roman" w:hAnsi="Times New Roman" w:eastAsia="仿宋_GB2312" w:cs="Times New Roman"/>
              </w:rPr>
            </w:pPr>
          </w:p>
        </w:tc>
        <w:tc>
          <w:tcPr>
            <w:tcW w:w="1483" w:type="dxa"/>
            <w:vMerge w:val="continue"/>
            <w:vAlign w:val="center"/>
          </w:tcPr>
          <w:p w14:paraId="5BCC9950">
            <w:pPr>
              <w:ind w:firstLine="0" w:firstLineChars="0"/>
              <w:jc w:val="center"/>
              <w:rPr>
                <w:rFonts w:ascii="Times New Roman" w:hAnsi="Times New Roman" w:eastAsia="仿宋_GB2312" w:cs="Times New Roman"/>
              </w:rPr>
            </w:pPr>
          </w:p>
        </w:tc>
        <w:tc>
          <w:tcPr>
            <w:tcW w:w="9882" w:type="dxa"/>
            <w:vAlign w:val="center"/>
          </w:tcPr>
          <w:p w14:paraId="72A6C859">
            <w:pPr>
              <w:ind w:firstLine="0" w:firstLineChars="0"/>
              <w:jc w:val="left"/>
              <w:rPr>
                <w:rFonts w:ascii="Times New Roman" w:hAnsi="Times New Roman" w:eastAsia="仿宋_GB2312" w:cs="Times New Roman"/>
              </w:rPr>
            </w:pPr>
            <w:r>
              <w:rPr>
                <w:rFonts w:ascii="Times New Roman" w:hAnsi="Times New Roman" w:eastAsia="仿宋_GB2312" w:cs="Times New Roman"/>
              </w:rPr>
              <w:t>6.利用水域从事旅游资源的开发与利用应当与水生态环境保护相协调，不得污染水体和影响行洪安全。</w:t>
            </w:r>
          </w:p>
          <w:p w14:paraId="08FB6716">
            <w:pPr>
              <w:ind w:firstLine="0" w:firstLineChars="0"/>
              <w:jc w:val="left"/>
              <w:rPr>
                <w:rFonts w:ascii="Times New Roman" w:hAnsi="Times New Roman" w:eastAsia="仿宋_GB2312" w:cs="Times New Roman"/>
              </w:rPr>
            </w:pPr>
            <w:r>
              <w:rPr>
                <w:rFonts w:ascii="Times New Roman" w:hAnsi="Times New Roman" w:eastAsia="仿宋_GB2312" w:cs="Times New Roman"/>
              </w:rPr>
              <w:t>7.市、县（市、区）人民政府可以根据水生态环境功能保护的需要，将下列区域或者水体划定为保护区:</w:t>
            </w:r>
          </w:p>
          <w:p w14:paraId="2521781F">
            <w:pPr>
              <w:ind w:firstLine="0" w:firstLineChars="0"/>
              <w:jc w:val="left"/>
              <w:rPr>
                <w:rFonts w:ascii="Times New Roman" w:hAnsi="Times New Roman" w:eastAsia="仿宋_GB2312" w:cs="Times New Roman"/>
              </w:rPr>
            </w:pPr>
            <w:r>
              <w:rPr>
                <w:rFonts w:ascii="Times New Roman" w:hAnsi="Times New Roman" w:eastAsia="仿宋_GB2312" w:cs="Times New Roman"/>
              </w:rPr>
              <w:t>（一）主要河流源头区；</w:t>
            </w:r>
          </w:p>
          <w:p w14:paraId="5127DCAB">
            <w:pPr>
              <w:ind w:firstLine="0" w:firstLineChars="0"/>
              <w:jc w:val="left"/>
              <w:rPr>
                <w:rFonts w:ascii="Times New Roman" w:hAnsi="Times New Roman" w:eastAsia="仿宋_GB2312" w:cs="Times New Roman"/>
              </w:rPr>
            </w:pPr>
            <w:r>
              <w:rPr>
                <w:rFonts w:ascii="Times New Roman" w:hAnsi="Times New Roman" w:eastAsia="仿宋_GB2312" w:cs="Times New Roman"/>
              </w:rPr>
              <w:t>（二）岩溶泉泉水出露区；</w:t>
            </w:r>
          </w:p>
          <w:p w14:paraId="569FAE46">
            <w:pPr>
              <w:ind w:firstLine="0" w:firstLineChars="0"/>
              <w:jc w:val="left"/>
              <w:rPr>
                <w:rFonts w:ascii="Times New Roman" w:hAnsi="Times New Roman" w:eastAsia="仿宋_GB2312" w:cs="Times New Roman"/>
              </w:rPr>
            </w:pPr>
            <w:r>
              <w:rPr>
                <w:rFonts w:ascii="Times New Roman" w:hAnsi="Times New Roman" w:eastAsia="仿宋_GB2312" w:cs="Times New Roman"/>
              </w:rPr>
              <w:t>（三）风景名胜区水体；</w:t>
            </w:r>
          </w:p>
          <w:p w14:paraId="1FFDB177">
            <w:pPr>
              <w:ind w:firstLine="0" w:firstLineChars="0"/>
              <w:jc w:val="left"/>
              <w:rPr>
                <w:rFonts w:ascii="Times New Roman" w:hAnsi="Times New Roman" w:eastAsia="仿宋_GB2312" w:cs="Times New Roman"/>
              </w:rPr>
            </w:pPr>
            <w:r>
              <w:rPr>
                <w:rFonts w:ascii="Times New Roman" w:hAnsi="Times New Roman" w:eastAsia="仿宋_GB2312" w:cs="Times New Roman"/>
              </w:rPr>
              <w:t>（四）重要湖泊、水库、湿地和水源涵养区；</w:t>
            </w:r>
          </w:p>
          <w:p w14:paraId="39A52494">
            <w:pPr>
              <w:ind w:firstLine="0" w:firstLineChars="0"/>
              <w:jc w:val="left"/>
              <w:rPr>
                <w:rFonts w:ascii="Times New Roman" w:hAnsi="Times New Roman" w:eastAsia="仿宋_GB2312" w:cs="Times New Roman"/>
              </w:rPr>
            </w:pPr>
            <w:r>
              <w:rPr>
                <w:rFonts w:ascii="Times New Roman" w:hAnsi="Times New Roman" w:eastAsia="仿宋_GB2312" w:cs="Times New Roman"/>
              </w:rPr>
              <w:t>（五）具有特殊经济文化价值的水体；</w:t>
            </w:r>
          </w:p>
          <w:p w14:paraId="44BB3942">
            <w:pPr>
              <w:ind w:firstLine="0" w:firstLineChars="0"/>
              <w:jc w:val="left"/>
              <w:rPr>
                <w:rFonts w:ascii="Times New Roman" w:hAnsi="Times New Roman" w:eastAsia="仿宋_GB2312" w:cs="Times New Roman"/>
              </w:rPr>
            </w:pPr>
            <w:r>
              <w:rPr>
                <w:rFonts w:ascii="Times New Roman" w:hAnsi="Times New Roman" w:eastAsia="仿宋_GB2312" w:cs="Times New Roman"/>
              </w:rPr>
              <w:t>（六）其他具有重要生态功能价值的区域和水体。</w:t>
            </w:r>
          </w:p>
          <w:p w14:paraId="30AA2464">
            <w:pPr>
              <w:ind w:firstLine="0" w:firstLineChars="0"/>
              <w:jc w:val="left"/>
              <w:rPr>
                <w:rFonts w:ascii="Times New Roman" w:hAnsi="Times New Roman" w:eastAsia="仿宋_GB2312" w:cs="Times New Roman"/>
              </w:rPr>
            </w:pPr>
            <w:r>
              <w:rPr>
                <w:rFonts w:ascii="Times New Roman" w:hAnsi="Times New Roman" w:eastAsia="仿宋_GB2312" w:cs="Times New Roman"/>
              </w:rPr>
              <w:t>保护区内不得新建排污口；禁止建设工业项目，对现有项目应当进行改造提升、关停或者搬迁；严格控制经营性建设项目；不得从事污染水环境、破坏水生态和减少水域面积的开发活动。</w:t>
            </w:r>
          </w:p>
          <w:p w14:paraId="2AAA885F">
            <w:pPr>
              <w:ind w:firstLine="0" w:firstLineChars="0"/>
              <w:jc w:val="left"/>
              <w:rPr>
                <w:rFonts w:ascii="Times New Roman" w:hAnsi="Times New Roman" w:eastAsia="仿宋_GB2312" w:cs="Times New Roman"/>
              </w:rPr>
            </w:pPr>
            <w:r>
              <w:rPr>
                <w:rFonts w:ascii="Times New Roman" w:hAnsi="Times New Roman" w:eastAsia="仿宋_GB2312" w:cs="Times New Roman"/>
              </w:rPr>
              <w:t>8.市、县（市、区）生态环境主管部门应当按照水环境功能区划和水环境承载能力，依法划定河流禁止设置排污口的重点保护河段。</w:t>
            </w:r>
          </w:p>
          <w:p w14:paraId="10496765">
            <w:pPr>
              <w:ind w:firstLine="0" w:firstLineChars="0"/>
              <w:jc w:val="left"/>
              <w:rPr>
                <w:rFonts w:ascii="Times New Roman" w:hAnsi="Times New Roman" w:eastAsia="仿宋_GB2312" w:cs="Times New Roman"/>
              </w:rPr>
            </w:pPr>
            <w:r>
              <w:rPr>
                <w:rFonts w:ascii="Times New Roman" w:hAnsi="Times New Roman" w:eastAsia="仿宋_GB2312" w:cs="Times New Roman"/>
              </w:rPr>
              <w:t>9.河湖和水利工程管理与保护范围内的水域和土地利用，应当符合行洪、输水、滩涂开发的要求，采取以下保护措施：</w:t>
            </w:r>
          </w:p>
          <w:p w14:paraId="30939CA1">
            <w:pPr>
              <w:ind w:firstLine="0" w:firstLineChars="0"/>
              <w:jc w:val="left"/>
              <w:rPr>
                <w:rFonts w:ascii="Times New Roman" w:hAnsi="Times New Roman" w:eastAsia="仿宋_GB2312" w:cs="Times New Roman"/>
              </w:rPr>
            </w:pPr>
            <w:r>
              <w:rPr>
                <w:rFonts w:hint="eastAsia" w:ascii="宋体" w:hAnsi="宋体"/>
              </w:rPr>
              <w:t>①</w:t>
            </w:r>
            <w:r>
              <w:rPr>
                <w:rFonts w:ascii="Times New Roman" w:hAnsi="Times New Roman" w:eastAsia="仿宋_GB2312" w:cs="Times New Roman"/>
              </w:rPr>
              <w:t>禁止在河道管理和引调水工程沿线保护范围内从事非法采石、采砂、取土、爆破等影响河势稳定、危害河岸堤防安全和其他妨碍河道行洪的活动；</w:t>
            </w:r>
          </w:p>
          <w:p w14:paraId="248D9CCA">
            <w:pPr>
              <w:ind w:firstLine="0" w:firstLineChars="0"/>
              <w:jc w:val="left"/>
              <w:rPr>
                <w:rFonts w:ascii="Times New Roman" w:hAnsi="Times New Roman" w:eastAsia="仿宋_GB2312" w:cs="Times New Roman"/>
              </w:rPr>
            </w:pPr>
            <w:r>
              <w:rPr>
                <w:rFonts w:hint="eastAsia" w:ascii="宋体" w:hAnsi="宋体"/>
              </w:rPr>
              <w:t>②</w:t>
            </w:r>
            <w:r>
              <w:rPr>
                <w:rFonts w:ascii="Times New Roman" w:hAnsi="Times New Roman" w:eastAsia="仿宋_GB2312" w:cs="Times New Roman"/>
              </w:rPr>
              <w:t>禁止在河道管理范围内倾倒垃圾、渣土等固体废弃物；</w:t>
            </w:r>
          </w:p>
          <w:p w14:paraId="0270D888">
            <w:pPr>
              <w:ind w:firstLine="0" w:firstLineChars="0"/>
              <w:jc w:val="left"/>
              <w:rPr>
                <w:rFonts w:ascii="Times New Roman" w:hAnsi="Times New Roman" w:eastAsia="仿宋_GB2312" w:cs="Times New Roman"/>
              </w:rPr>
            </w:pPr>
            <w:r>
              <w:rPr>
                <w:rFonts w:hint="eastAsia" w:ascii="宋体" w:hAnsi="宋体"/>
              </w:rPr>
              <w:t>③</w:t>
            </w:r>
            <w:r>
              <w:rPr>
                <w:rFonts w:ascii="Times New Roman" w:hAnsi="Times New Roman" w:eastAsia="仿宋_GB2312" w:cs="Times New Roman"/>
              </w:rPr>
              <w:t>禁止在河道管理范围内种植阻碍行洪的林木和高杆植物。</w:t>
            </w:r>
          </w:p>
          <w:p w14:paraId="36DAA978">
            <w:pPr>
              <w:ind w:firstLine="0" w:firstLineChars="0"/>
              <w:jc w:val="left"/>
              <w:rPr>
                <w:rFonts w:ascii="Times New Roman" w:hAnsi="Times New Roman" w:eastAsia="仿宋_GB2312" w:cs="Times New Roman"/>
              </w:rPr>
            </w:pPr>
            <w:r>
              <w:rPr>
                <w:rFonts w:ascii="Times New Roman" w:hAnsi="Times New Roman" w:eastAsia="仿宋_GB2312" w:cs="Times New Roman"/>
              </w:rPr>
              <w:t>10.在造林绿化工程区和封山育林区，应当采取禁牧措施。禁止违法占用或者征收、征用沁河流域内的一级保护林地和天然草甸，禁止随意变更水源涵养林地和天然草甸的用途。</w:t>
            </w:r>
          </w:p>
        </w:tc>
        <w:tc>
          <w:tcPr>
            <w:tcW w:w="2453" w:type="dxa"/>
            <w:vAlign w:val="center"/>
          </w:tcPr>
          <w:p w14:paraId="6458633E">
            <w:pPr>
              <w:ind w:firstLine="0" w:firstLineChars="0"/>
              <w:rPr>
                <w:rFonts w:ascii="Times New Roman" w:hAnsi="Times New Roman" w:eastAsia="仿宋_GB2312" w:cs="Times New Roman"/>
              </w:rPr>
            </w:pPr>
            <w:r>
              <w:rPr>
                <w:rFonts w:ascii="Times New Roman" w:hAnsi="Times New Roman" w:eastAsia="仿宋_GB2312" w:cs="Times New Roman"/>
              </w:rPr>
              <w:t>《晋城市沁河流域生态修复与保护条例》（2021年10月1日实施）</w:t>
            </w:r>
          </w:p>
        </w:tc>
      </w:tr>
      <w:tr w14:paraId="7A97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76" w:type="dxa"/>
            <w:vMerge w:val="continue"/>
            <w:vAlign w:val="center"/>
          </w:tcPr>
          <w:p w14:paraId="26F9F1BC">
            <w:pPr>
              <w:ind w:firstLine="0" w:firstLineChars="0"/>
              <w:jc w:val="center"/>
              <w:rPr>
                <w:rFonts w:ascii="Times New Roman" w:hAnsi="Times New Roman" w:eastAsia="仿宋_GB2312" w:cs="Times New Roman"/>
              </w:rPr>
            </w:pPr>
          </w:p>
        </w:tc>
        <w:tc>
          <w:tcPr>
            <w:tcW w:w="1483" w:type="dxa"/>
            <w:vMerge w:val="continue"/>
            <w:vAlign w:val="center"/>
          </w:tcPr>
          <w:p w14:paraId="34A27AE8">
            <w:pPr>
              <w:ind w:firstLine="0" w:firstLineChars="0"/>
              <w:jc w:val="center"/>
              <w:rPr>
                <w:rFonts w:ascii="Times New Roman" w:hAnsi="Times New Roman" w:eastAsia="仿宋_GB2312" w:cs="Times New Roman"/>
              </w:rPr>
            </w:pPr>
          </w:p>
        </w:tc>
        <w:tc>
          <w:tcPr>
            <w:tcW w:w="9882" w:type="dxa"/>
            <w:vAlign w:val="center"/>
          </w:tcPr>
          <w:p w14:paraId="549B2E9F">
            <w:pPr>
              <w:ind w:firstLine="0" w:firstLineChars="0"/>
              <w:jc w:val="left"/>
              <w:rPr>
                <w:rFonts w:ascii="Times New Roman" w:hAnsi="Times New Roman" w:eastAsia="仿宋_GB2312" w:cs="Times New Roman"/>
              </w:rPr>
            </w:pPr>
            <w:r>
              <w:rPr>
                <w:rFonts w:ascii="Times New Roman" w:hAnsi="Times New Roman" w:eastAsia="仿宋_GB2312" w:cs="Times New Roman"/>
              </w:rPr>
              <w:t>11.重点保护区以外的泉域保护范围内，应当遵守下列规定：</w:t>
            </w:r>
          </w:p>
          <w:p w14:paraId="53F97BDC">
            <w:pPr>
              <w:ind w:firstLine="0" w:firstLineChars="0"/>
              <w:jc w:val="left"/>
              <w:rPr>
                <w:rFonts w:ascii="Times New Roman" w:hAnsi="Times New Roman" w:eastAsia="仿宋_GB2312" w:cs="Times New Roman"/>
              </w:rPr>
            </w:pPr>
            <w:r>
              <w:rPr>
                <w:rFonts w:hint="eastAsia" w:ascii="宋体" w:hAnsi="宋体"/>
              </w:rPr>
              <w:t>①</w:t>
            </w:r>
            <w:r>
              <w:rPr>
                <w:rFonts w:ascii="Times New Roman" w:hAnsi="Times New Roman" w:eastAsia="仿宋_GB2312" w:cs="Times New Roman"/>
              </w:rPr>
              <w:t>控制利用孔隙裂隙地下水和岩溶地下水开采；</w:t>
            </w:r>
          </w:p>
          <w:p w14:paraId="7CF794C2">
            <w:pPr>
              <w:ind w:firstLine="0" w:firstLineChars="0"/>
              <w:jc w:val="left"/>
              <w:rPr>
                <w:rFonts w:ascii="Times New Roman" w:hAnsi="Times New Roman" w:eastAsia="仿宋_GB2312" w:cs="Times New Roman"/>
              </w:rPr>
            </w:pPr>
            <w:r>
              <w:rPr>
                <w:rFonts w:hint="eastAsia" w:ascii="宋体" w:hAnsi="宋体"/>
              </w:rPr>
              <w:t>②</w:t>
            </w:r>
            <w:r>
              <w:rPr>
                <w:rFonts w:ascii="Times New Roman" w:hAnsi="Times New Roman" w:eastAsia="仿宋_GB2312" w:cs="Times New Roman"/>
              </w:rPr>
              <w:t>在岩溶地下水超采区，加快替代水源工程建设，实施关井压采；</w:t>
            </w:r>
          </w:p>
          <w:p w14:paraId="6F030327">
            <w:pPr>
              <w:ind w:firstLine="0" w:firstLineChars="0"/>
              <w:jc w:val="left"/>
              <w:rPr>
                <w:rFonts w:ascii="Times New Roman" w:hAnsi="Times New Roman" w:eastAsia="仿宋_GB2312" w:cs="Times New Roman"/>
              </w:rPr>
            </w:pPr>
            <w:r>
              <w:rPr>
                <w:rFonts w:hint="eastAsia" w:ascii="宋体" w:hAnsi="宋体"/>
              </w:rPr>
              <w:t>③</w:t>
            </w:r>
            <w:r>
              <w:rPr>
                <w:rFonts w:ascii="Times New Roman" w:hAnsi="Times New Roman" w:eastAsia="仿宋_GB2312" w:cs="Times New Roman"/>
              </w:rPr>
              <w:t>永久封堵废弃岩溶地下水井、废弃钻井、废弃煤层气钻孔；</w:t>
            </w:r>
          </w:p>
          <w:p w14:paraId="207BC164">
            <w:pPr>
              <w:ind w:firstLine="0" w:firstLineChars="0"/>
              <w:jc w:val="left"/>
              <w:rPr>
                <w:rFonts w:ascii="Times New Roman" w:hAnsi="Times New Roman" w:eastAsia="仿宋_GB2312" w:cs="Times New Roman"/>
              </w:rPr>
            </w:pPr>
            <w:r>
              <w:rPr>
                <w:rFonts w:hint="eastAsia" w:ascii="宋体" w:hAnsi="宋体"/>
              </w:rPr>
              <w:t>④</w:t>
            </w:r>
            <w:r>
              <w:rPr>
                <w:rFonts w:ascii="Times New Roman" w:hAnsi="Times New Roman" w:eastAsia="仿宋_GB2312" w:cs="Times New Roman"/>
              </w:rPr>
              <w:t>严格控制新建、改建、扩建耗水量大的建设项目；</w:t>
            </w:r>
          </w:p>
          <w:p w14:paraId="69E2880E">
            <w:pPr>
              <w:ind w:firstLine="0" w:firstLineChars="0"/>
              <w:jc w:val="left"/>
              <w:rPr>
                <w:rFonts w:ascii="Times New Roman" w:hAnsi="Times New Roman" w:eastAsia="仿宋_GB2312" w:cs="Times New Roman"/>
              </w:rPr>
            </w:pPr>
            <w:r>
              <w:rPr>
                <w:rFonts w:hint="eastAsia" w:ascii="宋体" w:hAnsi="宋体"/>
              </w:rPr>
              <w:t>⑤</w:t>
            </w:r>
            <w:r>
              <w:rPr>
                <w:rFonts w:ascii="Times New Roman" w:hAnsi="Times New Roman" w:eastAsia="仿宋_GB2312" w:cs="Times New Roman"/>
              </w:rPr>
              <w:t>不得利用渗坑、渗井、溶洞、废弃钻孔等排放工业废水、污水，倾倒有毒有害物质、废渣和垃圾；</w:t>
            </w:r>
          </w:p>
          <w:p w14:paraId="15FA564C">
            <w:pPr>
              <w:ind w:firstLine="0" w:firstLineChars="0"/>
              <w:jc w:val="left"/>
              <w:rPr>
                <w:rFonts w:ascii="Times New Roman" w:hAnsi="Times New Roman" w:eastAsia="仿宋_GB2312" w:cs="Times New Roman"/>
              </w:rPr>
            </w:pPr>
            <w:r>
              <w:rPr>
                <w:rFonts w:hint="eastAsia" w:ascii="宋体" w:hAnsi="宋体"/>
              </w:rPr>
              <w:t>⑥</w:t>
            </w:r>
            <w:r>
              <w:rPr>
                <w:rFonts w:ascii="Times New Roman" w:hAnsi="Times New Roman" w:eastAsia="仿宋_GB2312" w:cs="Times New Roman"/>
              </w:rPr>
              <w:t>不得将生活污水、再生水用于地下作业。</w:t>
            </w:r>
          </w:p>
          <w:p w14:paraId="0FB1F383">
            <w:pPr>
              <w:ind w:firstLine="0" w:firstLineChars="0"/>
              <w:jc w:val="left"/>
              <w:rPr>
                <w:rFonts w:ascii="Times New Roman" w:hAnsi="Times New Roman" w:eastAsia="仿宋_GB2312" w:cs="Times New Roman"/>
              </w:rPr>
            </w:pPr>
            <w:r>
              <w:rPr>
                <w:rFonts w:ascii="Times New Roman" w:hAnsi="Times New Roman" w:eastAsia="仿宋_GB2312" w:cs="Times New Roman"/>
              </w:rPr>
              <w:t>12.在重点保护区内，除遵守第十三条规定外，还不得有下列行为：</w:t>
            </w:r>
          </w:p>
          <w:p w14:paraId="00E63136">
            <w:pPr>
              <w:ind w:firstLine="0" w:firstLineChars="0"/>
              <w:jc w:val="left"/>
              <w:rPr>
                <w:rFonts w:ascii="Times New Roman" w:hAnsi="Times New Roman" w:eastAsia="仿宋_GB2312" w:cs="Times New Roman"/>
              </w:rPr>
            </w:pPr>
            <w:r>
              <w:rPr>
                <w:rFonts w:hint="eastAsia" w:ascii="宋体" w:hAnsi="宋体"/>
              </w:rPr>
              <w:t>①</w:t>
            </w:r>
            <w:r>
              <w:rPr>
                <w:rFonts w:ascii="Times New Roman" w:hAnsi="Times New Roman" w:eastAsia="仿宋_GB2312" w:cs="Times New Roman"/>
              </w:rPr>
              <w:t>擅自打井、挖泉、截流、引水；</w:t>
            </w:r>
          </w:p>
          <w:p w14:paraId="076509D3">
            <w:pPr>
              <w:ind w:firstLine="0" w:firstLineChars="0"/>
              <w:jc w:val="left"/>
              <w:rPr>
                <w:rFonts w:ascii="Times New Roman" w:hAnsi="Times New Roman" w:eastAsia="仿宋_GB2312" w:cs="Times New Roman"/>
              </w:rPr>
            </w:pPr>
            <w:r>
              <w:rPr>
                <w:rFonts w:hint="eastAsia" w:ascii="宋体" w:hAnsi="宋体"/>
              </w:rPr>
              <w:t>②</w:t>
            </w:r>
            <w:r>
              <w:rPr>
                <w:rFonts w:ascii="Times New Roman" w:hAnsi="Times New Roman" w:eastAsia="仿宋_GB2312" w:cs="Times New Roman"/>
              </w:rPr>
              <w:t>将已污染含水层与未污染含水层的地下水混合开采；</w:t>
            </w:r>
          </w:p>
          <w:p w14:paraId="4C0FF1E6">
            <w:pPr>
              <w:ind w:firstLine="0" w:firstLineChars="0"/>
              <w:jc w:val="left"/>
              <w:rPr>
                <w:rFonts w:ascii="Times New Roman" w:hAnsi="Times New Roman" w:eastAsia="仿宋_GB2312" w:cs="Times New Roman"/>
              </w:rPr>
            </w:pPr>
            <w:r>
              <w:rPr>
                <w:rFonts w:hint="eastAsia" w:ascii="宋体" w:hAnsi="宋体"/>
              </w:rPr>
              <w:t>③</w:t>
            </w:r>
            <w:r>
              <w:rPr>
                <w:rFonts w:ascii="Times New Roman" w:hAnsi="Times New Roman" w:eastAsia="仿宋_GB2312" w:cs="Times New Roman"/>
              </w:rPr>
              <w:t>采煤、采煤层气、开矿、开山采石和兴建地下工程；</w:t>
            </w:r>
          </w:p>
          <w:p w14:paraId="3C5877B6">
            <w:pPr>
              <w:ind w:firstLine="0" w:firstLineChars="0"/>
              <w:jc w:val="left"/>
              <w:rPr>
                <w:rFonts w:ascii="Times New Roman" w:hAnsi="Times New Roman" w:eastAsia="仿宋_GB2312" w:cs="Times New Roman"/>
              </w:rPr>
            </w:pPr>
            <w:r>
              <w:rPr>
                <w:rFonts w:hint="eastAsia" w:ascii="宋体" w:hAnsi="宋体"/>
              </w:rPr>
              <w:t>④</w:t>
            </w:r>
            <w:r>
              <w:rPr>
                <w:rFonts w:ascii="Times New Roman" w:hAnsi="Times New Roman" w:eastAsia="仿宋_GB2312" w:cs="Times New Roman"/>
              </w:rPr>
              <w:t>新建、改建、扩建与供水设施和保护水源无关的建设项目；</w:t>
            </w:r>
          </w:p>
          <w:p w14:paraId="3B80BF87">
            <w:pPr>
              <w:ind w:firstLine="0" w:firstLineChars="0"/>
              <w:jc w:val="left"/>
              <w:rPr>
                <w:rFonts w:ascii="Times New Roman" w:hAnsi="Times New Roman" w:eastAsia="仿宋_GB2312" w:cs="Times New Roman"/>
              </w:rPr>
            </w:pPr>
            <w:r>
              <w:rPr>
                <w:rFonts w:hint="eastAsia" w:ascii="宋体" w:hAnsi="宋体"/>
              </w:rPr>
              <w:t>⑤</w:t>
            </w:r>
            <w:r>
              <w:rPr>
                <w:rFonts w:ascii="Times New Roman" w:hAnsi="Times New Roman" w:eastAsia="仿宋_GB2312" w:cs="Times New Roman"/>
              </w:rPr>
              <w:t>排放、倾倒工业废渣、城镇垃圾和其他废弃物；</w:t>
            </w:r>
          </w:p>
          <w:p w14:paraId="04B97592">
            <w:pPr>
              <w:ind w:firstLine="0" w:firstLineChars="0"/>
              <w:jc w:val="left"/>
              <w:rPr>
                <w:rFonts w:ascii="Times New Roman" w:hAnsi="Times New Roman" w:eastAsia="仿宋_GB2312" w:cs="Times New Roman"/>
              </w:rPr>
            </w:pPr>
            <w:r>
              <w:rPr>
                <w:rFonts w:hint="eastAsia" w:ascii="宋体" w:hAnsi="宋体"/>
              </w:rPr>
              <w:t>⑥</w:t>
            </w:r>
            <w:r>
              <w:rPr>
                <w:rFonts w:ascii="Times New Roman" w:hAnsi="Times New Roman" w:eastAsia="仿宋_GB2312" w:cs="Times New Roman"/>
              </w:rPr>
              <w:t>排放、倾倒工业废水、生活污水；</w:t>
            </w:r>
          </w:p>
          <w:p w14:paraId="48126480">
            <w:pPr>
              <w:ind w:firstLine="0" w:firstLineChars="0"/>
              <w:jc w:val="left"/>
              <w:rPr>
                <w:rFonts w:ascii="Times New Roman" w:hAnsi="Times New Roman" w:eastAsia="仿宋_GB2312" w:cs="Times New Roman"/>
              </w:rPr>
            </w:pPr>
            <w:r>
              <w:rPr>
                <w:rFonts w:hint="eastAsia" w:ascii="宋体" w:hAnsi="宋体"/>
              </w:rPr>
              <w:t>⑦</w:t>
            </w:r>
            <w:r>
              <w:rPr>
                <w:rFonts w:ascii="Times New Roman" w:hAnsi="Times New Roman" w:eastAsia="仿宋_GB2312" w:cs="Times New Roman"/>
              </w:rPr>
              <w:t>法律、法规禁止从事的其他行为。</w:t>
            </w:r>
          </w:p>
          <w:p w14:paraId="6C53618C">
            <w:pPr>
              <w:ind w:firstLine="0" w:firstLineChars="0"/>
              <w:jc w:val="left"/>
              <w:rPr>
                <w:rFonts w:ascii="Times New Roman" w:hAnsi="Times New Roman" w:eastAsia="仿宋_GB2312" w:cs="Times New Roman"/>
              </w:rPr>
            </w:pPr>
            <w:r>
              <w:rPr>
                <w:rFonts w:ascii="Times New Roman" w:hAnsi="Times New Roman" w:eastAsia="仿宋_GB2312" w:cs="Times New Roman"/>
              </w:rPr>
              <w:t>前款第四项规定的建设项目，属于国家、省大型建设项目和重点工程因地形原因无法避让，或者重要民生工程确需经过或者进入泉域重点保护区，经专家充分论证采取严格保护措施后不会对泉域水资源造成污染和影响，由省人民政府水行政主管部门决定批准的除外。</w:t>
            </w:r>
          </w:p>
          <w:p w14:paraId="26227B77">
            <w:pPr>
              <w:ind w:firstLine="0" w:firstLineChars="0"/>
              <w:jc w:val="left"/>
              <w:rPr>
                <w:rFonts w:ascii="Times New Roman" w:hAnsi="Times New Roman" w:eastAsia="仿宋_GB2312" w:cs="Times New Roman"/>
              </w:rPr>
            </w:pPr>
            <w:r>
              <w:rPr>
                <w:rFonts w:ascii="Times New Roman" w:hAnsi="Times New Roman" w:eastAsia="仿宋_GB2312" w:cs="Times New Roman"/>
              </w:rPr>
              <w:t>13.在城市公共供水管网覆盖范围内，供水能力和水质能够满足需要的，禁止开凿新井。有替代水源的，原有自备水井应当予以关闭。因突发事件需临时启用自备水井的，应当遵守国家相关规定。</w:t>
            </w:r>
          </w:p>
          <w:p w14:paraId="56C746F7">
            <w:pPr>
              <w:ind w:firstLine="0" w:firstLineChars="0"/>
              <w:jc w:val="left"/>
              <w:rPr>
                <w:rFonts w:ascii="Times New Roman" w:hAnsi="Times New Roman" w:eastAsia="仿宋_GB2312" w:cs="Times New Roman"/>
              </w:rPr>
            </w:pPr>
            <w:r>
              <w:rPr>
                <w:rFonts w:ascii="Times New Roman" w:hAnsi="Times New Roman" w:eastAsia="仿宋_GB2312" w:cs="Times New Roman"/>
              </w:rPr>
              <w:t>14.在泉域保护范围内新建、改建、扩建建设项目的，建设单位应当在开工前取得市人民政府行政审批服务管理部门批准的泉域水资源影响评价报告。</w:t>
            </w:r>
          </w:p>
        </w:tc>
        <w:tc>
          <w:tcPr>
            <w:tcW w:w="2453" w:type="dxa"/>
            <w:vAlign w:val="center"/>
          </w:tcPr>
          <w:p w14:paraId="3C58818A">
            <w:pPr>
              <w:ind w:firstLine="0" w:firstLineChars="0"/>
              <w:rPr>
                <w:rFonts w:ascii="Times New Roman" w:hAnsi="Times New Roman" w:eastAsia="仿宋_GB2312" w:cs="Times New Roman"/>
              </w:rPr>
            </w:pPr>
            <w:r>
              <w:rPr>
                <w:rFonts w:ascii="Times New Roman" w:hAnsi="Times New Roman" w:eastAsia="仿宋_GB2312" w:cs="Times New Roman"/>
              </w:rPr>
              <w:t>《晋城市延河泉域和三姑泉域水资源保护条例》（2023年5月1日实施）</w:t>
            </w:r>
          </w:p>
        </w:tc>
      </w:tr>
      <w:tr w14:paraId="17C7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76" w:type="dxa"/>
            <w:vMerge w:val="continue"/>
            <w:vAlign w:val="center"/>
          </w:tcPr>
          <w:p w14:paraId="0A11C8FD">
            <w:pPr>
              <w:ind w:firstLine="0" w:firstLineChars="0"/>
              <w:jc w:val="center"/>
              <w:rPr>
                <w:rFonts w:ascii="Times New Roman" w:hAnsi="Times New Roman" w:eastAsia="仿宋_GB2312" w:cs="Times New Roman"/>
              </w:rPr>
            </w:pPr>
          </w:p>
        </w:tc>
        <w:tc>
          <w:tcPr>
            <w:tcW w:w="1483" w:type="dxa"/>
            <w:vMerge w:val="continue"/>
            <w:vAlign w:val="center"/>
          </w:tcPr>
          <w:p w14:paraId="1519E94A">
            <w:pPr>
              <w:ind w:firstLine="0" w:firstLineChars="0"/>
              <w:jc w:val="center"/>
              <w:rPr>
                <w:rFonts w:ascii="Times New Roman" w:hAnsi="Times New Roman" w:eastAsia="仿宋_GB2312" w:cs="Times New Roman"/>
              </w:rPr>
            </w:pPr>
          </w:p>
        </w:tc>
        <w:tc>
          <w:tcPr>
            <w:tcW w:w="9882" w:type="dxa"/>
            <w:vAlign w:val="center"/>
          </w:tcPr>
          <w:p w14:paraId="08D58BEB">
            <w:pPr>
              <w:ind w:firstLine="0" w:firstLineChars="0"/>
              <w:jc w:val="left"/>
              <w:rPr>
                <w:rFonts w:ascii="Times New Roman" w:hAnsi="Times New Roman" w:eastAsia="仿宋_GB2312" w:cs="Times New Roman"/>
              </w:rPr>
            </w:pPr>
            <w:r>
              <w:rPr>
                <w:rFonts w:ascii="Times New Roman" w:hAnsi="Times New Roman" w:eastAsia="仿宋_GB2312" w:cs="Times New Roman"/>
              </w:rPr>
              <w:t>15.在沁河干流管理范围线之外100米和支流管理范围线之外50米建设生态缓冲带，其他河流和重点湖库两岸以及划定的河湖库管理范围线之外30-50米建设生态缓冲带。</w:t>
            </w:r>
          </w:p>
          <w:p w14:paraId="27843652">
            <w:pPr>
              <w:ind w:firstLine="0" w:firstLineChars="0"/>
              <w:jc w:val="left"/>
              <w:rPr>
                <w:rFonts w:ascii="Times New Roman" w:hAnsi="Times New Roman" w:eastAsia="仿宋_GB2312" w:cs="Times New Roman"/>
              </w:rPr>
            </w:pPr>
            <w:r>
              <w:rPr>
                <w:rFonts w:ascii="Times New Roman" w:hAnsi="Times New Roman" w:eastAsia="仿宋_GB2312" w:cs="Times New Roman"/>
              </w:rPr>
              <w:t>16.在永久基本农田集中区域，严禁规划新建可能造成土壤污染的建设项目。</w:t>
            </w:r>
          </w:p>
          <w:p w14:paraId="1D9A5EC0">
            <w:pPr>
              <w:ind w:firstLine="0" w:firstLineChars="0"/>
              <w:jc w:val="left"/>
              <w:rPr>
                <w:rFonts w:ascii="Times New Roman" w:hAnsi="Times New Roman" w:eastAsia="仿宋_GB2312" w:cs="Times New Roman"/>
              </w:rPr>
            </w:pPr>
            <w:r>
              <w:rPr>
                <w:rFonts w:ascii="Times New Roman" w:hAnsi="Times New Roman" w:eastAsia="仿宋_GB2312" w:cs="Times New Roman"/>
              </w:rPr>
              <w:t>17.原则上曾用于生产、使用、贮存、回收、处置有毒有害物质的地块禁止复垦为种植使用农产品的耕地。</w:t>
            </w:r>
          </w:p>
          <w:p w14:paraId="3A673E4F">
            <w:pPr>
              <w:ind w:firstLine="0" w:firstLineChars="0"/>
              <w:jc w:val="left"/>
              <w:rPr>
                <w:rFonts w:ascii="Times New Roman" w:hAnsi="Times New Roman" w:eastAsia="仿宋_GB2312" w:cs="Times New Roman"/>
              </w:rPr>
            </w:pPr>
            <w:r>
              <w:rPr>
                <w:rFonts w:ascii="Times New Roman" w:hAnsi="Times New Roman" w:eastAsia="仿宋_GB2312" w:cs="Times New Roman"/>
              </w:rPr>
              <w:t>18.从严管控农药、焦化、化工等行业中的重度污染地块规划用途，严禁规划学校、住宅等。</w:t>
            </w:r>
          </w:p>
          <w:p w14:paraId="72B0D457">
            <w:pPr>
              <w:ind w:firstLine="0" w:firstLineChars="0"/>
              <w:jc w:val="left"/>
              <w:rPr>
                <w:rFonts w:ascii="Times New Roman" w:hAnsi="Times New Roman" w:eastAsia="仿宋_GB2312" w:cs="Times New Roman"/>
              </w:rPr>
            </w:pPr>
            <w:r>
              <w:rPr>
                <w:rFonts w:ascii="Times New Roman" w:hAnsi="Times New Roman" w:eastAsia="仿宋_GB2312" w:cs="Times New Roman"/>
              </w:rPr>
              <w:t>19.对列入建设用地土壤污染风险管控和修复名录的地块，各级自然资源部门、行政审批部门严禁作为一住两公用地，严禁办理土地收回、收购、土地供应以及改变土地用途等手续。</w:t>
            </w:r>
          </w:p>
        </w:tc>
        <w:tc>
          <w:tcPr>
            <w:tcW w:w="2453" w:type="dxa"/>
            <w:vAlign w:val="center"/>
          </w:tcPr>
          <w:p w14:paraId="3BB97024">
            <w:pPr>
              <w:ind w:firstLine="0" w:firstLineChars="0"/>
              <w:rPr>
                <w:rFonts w:ascii="Times New Roman" w:hAnsi="Times New Roman" w:eastAsia="仿宋_GB2312" w:cs="Times New Roman"/>
              </w:rPr>
            </w:pPr>
            <w:r>
              <w:rPr>
                <w:rFonts w:ascii="Times New Roman" w:hAnsi="Times New Roman" w:eastAsia="仿宋_GB2312" w:cs="Times New Roman"/>
              </w:rPr>
              <w:t>《晋城市人民政府办公室关于印发晋城市空气、水环境质量再提升和土壤、地下水污染防治2023年行动计划的通知》（晋市政办〔2023〕14号）</w:t>
            </w:r>
          </w:p>
        </w:tc>
      </w:tr>
      <w:tr w14:paraId="1943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76" w:type="dxa"/>
            <w:vMerge w:val="continue"/>
            <w:vAlign w:val="center"/>
          </w:tcPr>
          <w:p w14:paraId="4574DACD">
            <w:pPr>
              <w:ind w:firstLine="0" w:firstLineChars="0"/>
              <w:jc w:val="center"/>
              <w:rPr>
                <w:rFonts w:ascii="Times New Roman" w:hAnsi="Times New Roman" w:eastAsia="仿宋_GB2312" w:cs="Times New Roman"/>
              </w:rPr>
            </w:pPr>
          </w:p>
        </w:tc>
        <w:tc>
          <w:tcPr>
            <w:tcW w:w="1483" w:type="dxa"/>
            <w:vMerge w:val="continue"/>
            <w:vAlign w:val="center"/>
          </w:tcPr>
          <w:p w14:paraId="7023858A">
            <w:pPr>
              <w:ind w:firstLine="0" w:firstLineChars="0"/>
              <w:jc w:val="center"/>
              <w:rPr>
                <w:rFonts w:ascii="Times New Roman" w:hAnsi="Times New Roman" w:eastAsia="仿宋_GB2312" w:cs="Times New Roman"/>
              </w:rPr>
            </w:pPr>
          </w:p>
        </w:tc>
        <w:tc>
          <w:tcPr>
            <w:tcW w:w="9882" w:type="dxa"/>
            <w:vAlign w:val="center"/>
          </w:tcPr>
          <w:p w14:paraId="69E1EF0E">
            <w:pPr>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0</w:t>
            </w:r>
            <w:r>
              <w:rPr>
                <w:rFonts w:hint="eastAsia" w:ascii="Times New Roman" w:hAnsi="Times New Roman" w:eastAsia="仿宋_GB2312" w:cs="Times New Roman"/>
              </w:rPr>
              <w:t>.严格落实社会独立煤炭洗选新增产能减量置换政策，持续淘汰落后煤炭洗选产能，促进煤炭洗选行业规范发展。</w:t>
            </w:r>
          </w:p>
          <w:p w14:paraId="020A72A6">
            <w:pPr>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1</w:t>
            </w:r>
            <w:r>
              <w:rPr>
                <w:rFonts w:hint="eastAsia" w:ascii="Times New Roman" w:hAnsi="Times New Roman" w:eastAsia="仿宋_GB2312" w:cs="Times New Roman"/>
              </w:rPr>
              <w:t>.全市新改扩建用煤项目，依法实行煤炭减量替代，替代方案不完善的不予审批；不得将使用石油焦、焦炭、兰炭等高污染燃料作为煤炭减量替代措施。严格落实国家重点区域煤炭消费减量替代管理要求，煤矸石、原料用煤不纳入煤炭消费总量考核。全市原则上不再新增自备燃煤机组，支持自备燃煤机组实施清洁能源替代。对支撑电力稳定供应、电网安全运行、清洁能源大规模并网消纳的煤电项目及其用煤量应予以合理保障。</w:t>
            </w:r>
          </w:p>
          <w:p w14:paraId="62623680">
            <w:pPr>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2</w:t>
            </w:r>
            <w:r>
              <w:rPr>
                <w:rFonts w:hint="eastAsia" w:ascii="Times New Roman" w:hAnsi="Times New Roman" w:eastAsia="仿宋_GB2312" w:cs="Times New Roman"/>
              </w:rPr>
              <w:t>.全市原则上不再新建除集中供暖外的燃煤锅炉，对35 蒸吨/小时及以下燃煤锅炉及茶水炉、经营性炉灶、储粮烘干设备、农产品加工等燃煤设施动态清零。充分发挥30 万千瓦及以上热电联产电厂、大型工业企业的供热能力，对其供热半径30 公里范围内的燃煤锅炉和落后燃煤小热电机组（含自备电厂）进行关停或整合。</w:t>
            </w:r>
          </w:p>
          <w:p w14:paraId="6DDF5064">
            <w:pPr>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3</w:t>
            </w:r>
            <w:r>
              <w:rPr>
                <w:rFonts w:hint="eastAsia" w:ascii="Times New Roman" w:hAnsi="Times New Roman" w:eastAsia="仿宋_GB2312" w:cs="Times New Roman"/>
              </w:rPr>
              <w:t>.全市不再新增燃料类煤气发生炉，新改扩建加热炉、热处理炉、干燥炉、熔化炉原则上采用清洁低碳能源。</w:t>
            </w:r>
          </w:p>
        </w:tc>
        <w:tc>
          <w:tcPr>
            <w:tcW w:w="2453" w:type="dxa"/>
            <w:vAlign w:val="center"/>
          </w:tcPr>
          <w:p w14:paraId="3D4B36B2">
            <w:pPr>
              <w:ind w:firstLine="0" w:firstLineChars="0"/>
              <w:rPr>
                <w:rFonts w:ascii="Times New Roman" w:hAnsi="Times New Roman" w:eastAsia="仿宋_GB2312" w:cs="Times New Roman"/>
              </w:rPr>
            </w:pPr>
            <w:r>
              <w:rPr>
                <w:rFonts w:ascii="Times New Roman" w:hAnsi="Times New Roman" w:eastAsia="仿宋_GB2312" w:cs="Times New Roman"/>
              </w:rPr>
              <w:t>《</w:t>
            </w:r>
            <w:r>
              <w:rPr>
                <w:rFonts w:hint="eastAsia" w:ascii="Times New Roman" w:hAnsi="Times New Roman" w:eastAsia="仿宋_GB2312" w:cs="Times New Roman"/>
              </w:rPr>
              <w:t>晋城市人民政府关于印发晋城市落实空气质量持续改善行动计划实施方案的通知</w:t>
            </w:r>
            <w:r>
              <w:rPr>
                <w:rFonts w:ascii="Times New Roman" w:hAnsi="Times New Roman" w:eastAsia="仿宋_GB2312" w:cs="Times New Roman"/>
              </w:rPr>
              <w:t>》（</w:t>
            </w:r>
            <w:r>
              <w:rPr>
                <w:rFonts w:hint="eastAsia" w:ascii="Times New Roman" w:hAnsi="Times New Roman" w:eastAsia="仿宋_GB2312" w:cs="Times New Roman"/>
              </w:rPr>
              <w:t>晋市政发〔2024〕11 号</w:t>
            </w:r>
            <w:r>
              <w:rPr>
                <w:rFonts w:ascii="Times New Roman" w:hAnsi="Times New Roman" w:eastAsia="仿宋_GB2312" w:cs="Times New Roman"/>
              </w:rPr>
              <w:t>）</w:t>
            </w:r>
          </w:p>
        </w:tc>
      </w:tr>
      <w:tr w14:paraId="43BC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76" w:type="dxa"/>
            <w:vMerge w:val="continue"/>
            <w:vAlign w:val="center"/>
          </w:tcPr>
          <w:p w14:paraId="1FCD1622">
            <w:pPr>
              <w:ind w:firstLine="0" w:firstLineChars="0"/>
              <w:jc w:val="center"/>
              <w:rPr>
                <w:rFonts w:ascii="Times New Roman" w:hAnsi="Times New Roman" w:eastAsia="仿宋_GB2312" w:cs="Times New Roman"/>
              </w:rPr>
            </w:pPr>
          </w:p>
        </w:tc>
        <w:tc>
          <w:tcPr>
            <w:tcW w:w="1483" w:type="dxa"/>
            <w:vMerge w:val="continue"/>
            <w:vAlign w:val="center"/>
          </w:tcPr>
          <w:p w14:paraId="753744C7">
            <w:pPr>
              <w:ind w:firstLine="0" w:firstLineChars="0"/>
              <w:jc w:val="center"/>
              <w:rPr>
                <w:rFonts w:ascii="Times New Roman" w:hAnsi="Times New Roman" w:eastAsia="仿宋_GB2312" w:cs="Times New Roman"/>
              </w:rPr>
            </w:pPr>
          </w:p>
        </w:tc>
        <w:tc>
          <w:tcPr>
            <w:tcW w:w="9882" w:type="dxa"/>
            <w:vAlign w:val="center"/>
          </w:tcPr>
          <w:p w14:paraId="223566FB">
            <w:pPr>
              <w:ind w:firstLine="0" w:firstLineChars="0"/>
              <w:jc w:val="left"/>
              <w:rPr>
                <w:rFonts w:ascii="Times New Roman" w:hAnsi="Times New Roman" w:eastAsia="仿宋_GB2312" w:cs="Times New Roman"/>
              </w:rPr>
            </w:pPr>
            <w:r>
              <w:rPr>
                <w:rFonts w:ascii="Times New Roman" w:hAnsi="Times New Roman" w:eastAsia="仿宋_GB2312" w:cs="Times New Roman"/>
              </w:rPr>
              <w:t>24.</w:t>
            </w:r>
            <w:r>
              <w:rPr>
                <w:rFonts w:ascii="Times New Roman" w:hAnsi="Times New Roman" w:eastAsia="仿宋_GB2312" w:cs="Times New Roman"/>
                <w:kern w:val="0"/>
              </w:rPr>
              <w:t>“禁煤区”范围内除煤电、集中供热和原料用煤企业外，所有的机关企事业单位、个体工商户、居民一律不得运输、储存、销售、使用煤及煤制品。</w:t>
            </w:r>
          </w:p>
        </w:tc>
        <w:tc>
          <w:tcPr>
            <w:tcW w:w="2453" w:type="dxa"/>
            <w:vAlign w:val="center"/>
          </w:tcPr>
          <w:p w14:paraId="13CF4B2F">
            <w:pPr>
              <w:ind w:firstLine="0" w:firstLineChars="0"/>
              <w:rPr>
                <w:rFonts w:ascii="Times New Roman" w:hAnsi="Times New Roman" w:eastAsia="仿宋_GB2312" w:cs="Times New Roman"/>
              </w:rPr>
            </w:pPr>
            <w:r>
              <w:rPr>
                <w:rFonts w:ascii="Times New Roman" w:hAnsi="Times New Roman" w:eastAsia="仿宋_GB2312" w:cs="Times New Roman"/>
              </w:rPr>
              <w:t>晋城市城区人民政府办公室关于印发《晋城市城区增建“禁煤区”实施方案的通知》（城政办发〔2020〕29号）</w:t>
            </w:r>
          </w:p>
        </w:tc>
      </w:tr>
      <w:tr w14:paraId="6445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76" w:type="dxa"/>
            <w:vMerge w:val="continue"/>
            <w:vAlign w:val="center"/>
          </w:tcPr>
          <w:p w14:paraId="0A3410A1">
            <w:pPr>
              <w:ind w:firstLine="0" w:firstLineChars="0"/>
              <w:jc w:val="center"/>
              <w:rPr>
                <w:rFonts w:ascii="Times New Roman" w:hAnsi="Times New Roman" w:eastAsia="仿宋_GB2312" w:cs="Times New Roman"/>
              </w:rPr>
            </w:pPr>
          </w:p>
        </w:tc>
        <w:tc>
          <w:tcPr>
            <w:tcW w:w="1483" w:type="dxa"/>
            <w:vMerge w:val="continue"/>
            <w:vAlign w:val="center"/>
          </w:tcPr>
          <w:p w14:paraId="00CF4D01">
            <w:pPr>
              <w:ind w:firstLine="0" w:firstLineChars="0"/>
              <w:jc w:val="center"/>
              <w:rPr>
                <w:rFonts w:ascii="Times New Roman" w:hAnsi="Times New Roman" w:eastAsia="仿宋_GB2312" w:cs="Times New Roman"/>
              </w:rPr>
            </w:pPr>
          </w:p>
        </w:tc>
        <w:tc>
          <w:tcPr>
            <w:tcW w:w="9882" w:type="dxa"/>
            <w:vAlign w:val="center"/>
          </w:tcPr>
          <w:p w14:paraId="5D4E6DEB">
            <w:pPr>
              <w:ind w:firstLine="0" w:firstLineChars="0"/>
              <w:jc w:val="left"/>
              <w:rPr>
                <w:rFonts w:ascii="Times New Roman" w:hAnsi="Times New Roman" w:eastAsia="仿宋_GB2312" w:cs="Times New Roman"/>
              </w:rPr>
            </w:pPr>
            <w:r>
              <w:rPr>
                <w:rFonts w:ascii="Times New Roman" w:hAnsi="Times New Roman" w:eastAsia="仿宋_GB2312" w:cs="Times New Roman"/>
              </w:rPr>
              <w:t>25.禁建区内禁止新建、改建（标准化改造除外）、扩建畜禽养殖场。</w:t>
            </w:r>
          </w:p>
          <w:p w14:paraId="28E15224">
            <w:pPr>
              <w:ind w:firstLine="0" w:firstLineChars="0"/>
              <w:jc w:val="left"/>
              <w:rPr>
                <w:rFonts w:ascii="Times New Roman" w:hAnsi="Times New Roman" w:eastAsia="仿宋_GB2312" w:cs="Times New Roman"/>
              </w:rPr>
            </w:pPr>
            <w:r>
              <w:rPr>
                <w:rFonts w:ascii="Times New Roman" w:hAnsi="Times New Roman" w:eastAsia="仿宋_GB2312" w:cs="Times New Roman"/>
              </w:rPr>
              <w:t>26.沁河、丹河沿线1000米、长河沿线500米范围内严禁新增畜禽养殖企业。</w:t>
            </w:r>
          </w:p>
        </w:tc>
        <w:tc>
          <w:tcPr>
            <w:tcW w:w="2453" w:type="dxa"/>
            <w:vAlign w:val="center"/>
          </w:tcPr>
          <w:p w14:paraId="31772B72">
            <w:pPr>
              <w:ind w:firstLine="0" w:firstLineChars="0"/>
              <w:rPr>
                <w:rFonts w:ascii="Times New Roman" w:hAnsi="Times New Roman" w:eastAsia="仿宋_GB2312" w:cs="Times New Roman"/>
              </w:rPr>
            </w:pPr>
            <w:r>
              <w:rPr>
                <w:rFonts w:ascii="Times New Roman" w:hAnsi="Times New Roman" w:eastAsia="仿宋_GB2312" w:cs="Times New Roman"/>
              </w:rPr>
              <w:t>《关于印发&lt;晋城市畜禽养殖污染防治规划&gt;的通知》（晋市环发〔2023〕122号）</w:t>
            </w:r>
          </w:p>
        </w:tc>
      </w:tr>
      <w:tr w14:paraId="4300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76" w:type="dxa"/>
            <w:vMerge w:val="continue"/>
            <w:vAlign w:val="center"/>
          </w:tcPr>
          <w:p w14:paraId="24444474">
            <w:pPr>
              <w:ind w:firstLine="0" w:firstLineChars="0"/>
              <w:jc w:val="center"/>
              <w:rPr>
                <w:rFonts w:ascii="Times New Roman" w:hAnsi="Times New Roman" w:eastAsia="仿宋_GB2312" w:cs="Times New Roman"/>
              </w:rPr>
            </w:pPr>
          </w:p>
        </w:tc>
        <w:tc>
          <w:tcPr>
            <w:tcW w:w="1483" w:type="dxa"/>
            <w:vAlign w:val="center"/>
          </w:tcPr>
          <w:p w14:paraId="4AA3A288">
            <w:pPr>
              <w:ind w:firstLine="0" w:firstLineChars="0"/>
              <w:jc w:val="center"/>
              <w:rPr>
                <w:rFonts w:ascii="Times New Roman" w:hAnsi="Times New Roman" w:eastAsia="仿宋_GB2312" w:cs="Times New Roman"/>
              </w:rPr>
            </w:pPr>
          </w:p>
        </w:tc>
        <w:tc>
          <w:tcPr>
            <w:tcW w:w="9882" w:type="dxa"/>
            <w:vAlign w:val="center"/>
          </w:tcPr>
          <w:p w14:paraId="318708D8">
            <w:pPr>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7.</w:t>
            </w:r>
            <w:r>
              <w:rPr>
                <w:rFonts w:hint="eastAsia" w:ascii="Times New Roman" w:hAnsi="Times New Roman" w:eastAsia="仿宋_GB2312" w:cs="Times New Roman"/>
              </w:rPr>
              <w:t>严禁在河道内开展机械车辆的清洗、加油等作业，严控石油类物质漏洒，严禁在河道内倾倒生活垃圾和畜禽粪污。</w:t>
            </w:r>
          </w:p>
        </w:tc>
        <w:tc>
          <w:tcPr>
            <w:tcW w:w="2453" w:type="dxa"/>
            <w:vAlign w:val="center"/>
          </w:tcPr>
          <w:p w14:paraId="194DF93C">
            <w:pPr>
              <w:ind w:firstLine="0" w:firstLineChars="0"/>
              <w:rPr>
                <w:rFonts w:ascii="Times New Roman" w:hAnsi="Times New Roman" w:eastAsia="仿宋_GB2312" w:cs="Times New Roman"/>
              </w:rPr>
            </w:pPr>
            <w:r>
              <w:rPr>
                <w:rFonts w:hint="eastAsia" w:ascii="Times New Roman" w:hAnsi="Times New Roman" w:eastAsia="仿宋_GB2312" w:cs="Times New Roman"/>
              </w:rPr>
              <w:t>《晋城市巩固提升水环境质量2</w:t>
            </w:r>
            <w:r>
              <w:rPr>
                <w:rFonts w:ascii="Times New Roman" w:hAnsi="Times New Roman" w:eastAsia="仿宋_GB2312" w:cs="Times New Roman"/>
              </w:rPr>
              <w:t>024</w:t>
            </w:r>
            <w:r>
              <w:rPr>
                <w:rFonts w:hint="eastAsia" w:ascii="Times New Roman" w:hAnsi="Times New Roman" w:eastAsia="仿宋_GB2312" w:cs="Times New Roman"/>
              </w:rPr>
              <w:t>年行动计划》（晋市生态环保委办</w:t>
            </w:r>
            <w:r>
              <w:rPr>
                <w:rFonts w:ascii="Times New Roman" w:hAnsi="Times New Roman" w:eastAsia="仿宋_GB2312" w:cs="Times New Roman"/>
              </w:rPr>
              <w:t>〔2024〕8号</w:t>
            </w:r>
            <w:r>
              <w:rPr>
                <w:rFonts w:hint="eastAsia" w:ascii="Times New Roman" w:hAnsi="Times New Roman" w:eastAsia="仿宋_GB2312" w:cs="Times New Roman"/>
              </w:rPr>
              <w:t>）</w:t>
            </w:r>
          </w:p>
        </w:tc>
      </w:tr>
      <w:tr w14:paraId="14D2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76" w:type="dxa"/>
            <w:vMerge w:val="continue"/>
            <w:vAlign w:val="center"/>
          </w:tcPr>
          <w:p w14:paraId="4D717FC8">
            <w:pPr>
              <w:ind w:firstLine="0" w:firstLineChars="0"/>
              <w:jc w:val="center"/>
              <w:rPr>
                <w:rFonts w:ascii="Times New Roman" w:hAnsi="Times New Roman" w:eastAsia="仿宋_GB2312" w:cs="Times New Roman"/>
              </w:rPr>
            </w:pPr>
          </w:p>
        </w:tc>
        <w:tc>
          <w:tcPr>
            <w:tcW w:w="1483" w:type="dxa"/>
            <w:vMerge w:val="restart"/>
            <w:vAlign w:val="center"/>
          </w:tcPr>
          <w:p w14:paraId="42975069">
            <w:pPr>
              <w:ind w:firstLine="0" w:firstLineChars="0"/>
              <w:jc w:val="center"/>
              <w:rPr>
                <w:rFonts w:ascii="Times New Roman" w:hAnsi="Times New Roman" w:eastAsia="仿宋_GB2312" w:cs="Times New Roman"/>
              </w:rPr>
            </w:pPr>
            <w:r>
              <w:rPr>
                <w:rFonts w:ascii="Times New Roman" w:hAnsi="Times New Roman" w:eastAsia="仿宋_GB2312" w:cs="Times New Roman"/>
              </w:rPr>
              <w:t>限制开发建设活动的要求</w:t>
            </w:r>
          </w:p>
        </w:tc>
        <w:tc>
          <w:tcPr>
            <w:tcW w:w="9882" w:type="dxa"/>
            <w:vAlign w:val="center"/>
          </w:tcPr>
          <w:p w14:paraId="2AB19822">
            <w:pPr>
              <w:ind w:firstLine="0" w:firstLineChars="0"/>
              <w:rPr>
                <w:rFonts w:ascii="Times New Roman" w:hAnsi="Times New Roman" w:eastAsia="仿宋_GB2312" w:cs="Times New Roman"/>
              </w:rPr>
            </w:pPr>
            <w:r>
              <w:rPr>
                <w:rFonts w:ascii="Times New Roman" w:hAnsi="Times New Roman" w:eastAsia="仿宋_GB2312" w:cs="Times New Roman"/>
              </w:rPr>
              <w:t>1.市、县（市、区）人民政府应当调整、优化产业结构，推进清洁生产，严格控制新建、改建、扩建钢铁、建材、冶铸、化工、焦化等行业的高排放、高污染项目。</w:t>
            </w:r>
          </w:p>
        </w:tc>
        <w:tc>
          <w:tcPr>
            <w:tcW w:w="2453" w:type="dxa"/>
            <w:vAlign w:val="center"/>
          </w:tcPr>
          <w:p w14:paraId="0FDF9682">
            <w:pPr>
              <w:ind w:firstLine="0" w:firstLineChars="0"/>
              <w:rPr>
                <w:rFonts w:ascii="Times New Roman" w:hAnsi="Times New Roman" w:eastAsia="仿宋_GB2312" w:cs="Times New Roman"/>
              </w:rPr>
            </w:pPr>
            <w:r>
              <w:rPr>
                <w:rFonts w:ascii="Times New Roman" w:hAnsi="Times New Roman" w:eastAsia="仿宋_GB2312" w:cs="Times New Roman"/>
              </w:rPr>
              <w:t>《晋城市大气污染防治条例》（修订）（2020年6月19日）</w:t>
            </w:r>
          </w:p>
        </w:tc>
      </w:tr>
      <w:tr w14:paraId="7084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6" w:type="dxa"/>
            <w:vMerge w:val="continue"/>
            <w:vAlign w:val="center"/>
          </w:tcPr>
          <w:p w14:paraId="77806497">
            <w:pPr>
              <w:ind w:firstLine="0" w:firstLineChars="0"/>
              <w:jc w:val="center"/>
              <w:rPr>
                <w:rFonts w:ascii="Times New Roman" w:hAnsi="Times New Roman" w:eastAsia="仿宋_GB2312" w:cs="Times New Roman"/>
              </w:rPr>
            </w:pPr>
          </w:p>
        </w:tc>
        <w:tc>
          <w:tcPr>
            <w:tcW w:w="1483" w:type="dxa"/>
            <w:vMerge w:val="continue"/>
            <w:vAlign w:val="center"/>
          </w:tcPr>
          <w:p w14:paraId="48EB32F7">
            <w:pPr>
              <w:ind w:firstLine="0" w:firstLineChars="0"/>
              <w:jc w:val="center"/>
              <w:rPr>
                <w:rFonts w:ascii="Times New Roman" w:hAnsi="Times New Roman" w:eastAsia="仿宋_GB2312" w:cs="Times New Roman"/>
              </w:rPr>
            </w:pPr>
          </w:p>
        </w:tc>
        <w:tc>
          <w:tcPr>
            <w:tcW w:w="9882" w:type="dxa"/>
            <w:vAlign w:val="center"/>
          </w:tcPr>
          <w:p w14:paraId="0F7952B1">
            <w:pPr>
              <w:ind w:firstLine="0" w:firstLineChars="0"/>
              <w:jc w:val="left"/>
              <w:rPr>
                <w:rFonts w:ascii="Times New Roman" w:hAnsi="Times New Roman" w:eastAsia="仿宋_GB2312" w:cs="Times New Roman"/>
                <w:kern w:val="0"/>
              </w:rPr>
            </w:pPr>
            <w:r>
              <w:rPr>
                <w:rFonts w:ascii="Times New Roman" w:hAnsi="Times New Roman" w:eastAsia="仿宋_GB2312" w:cs="Times New Roman"/>
                <w:kern w:val="0"/>
              </w:rPr>
              <w:t>2.</w:t>
            </w:r>
            <w:r>
              <w:rPr>
                <w:rFonts w:ascii="Times New Roman" w:hAnsi="Times New Roman" w:eastAsia="仿宋_GB2312" w:cs="Times New Roman"/>
              </w:rPr>
              <w:t>河湖和水利工程管理与保护范围内的水域和土地利用，应当符合行洪、输水、滩涂开发的要求，严格限制建设项目、农用地占用自然岸线和河道空间。</w:t>
            </w:r>
          </w:p>
        </w:tc>
        <w:tc>
          <w:tcPr>
            <w:tcW w:w="2453" w:type="dxa"/>
            <w:vAlign w:val="center"/>
          </w:tcPr>
          <w:p w14:paraId="2FBBBA4C">
            <w:pPr>
              <w:ind w:firstLine="0" w:firstLineChars="0"/>
              <w:rPr>
                <w:rFonts w:ascii="Times New Roman" w:hAnsi="Times New Roman" w:eastAsia="仿宋_GB2312" w:cs="Times New Roman"/>
              </w:rPr>
            </w:pPr>
            <w:r>
              <w:rPr>
                <w:rFonts w:ascii="Times New Roman" w:hAnsi="Times New Roman" w:eastAsia="仿宋_GB2312" w:cs="Times New Roman"/>
              </w:rPr>
              <w:t>《晋城市沁河流域生态修复与保护条例》（2021年10月1日实施）</w:t>
            </w:r>
          </w:p>
        </w:tc>
      </w:tr>
      <w:tr w14:paraId="6045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76" w:type="dxa"/>
            <w:vMerge w:val="continue"/>
            <w:vAlign w:val="center"/>
          </w:tcPr>
          <w:p w14:paraId="0D01BF7B">
            <w:pPr>
              <w:ind w:firstLine="0" w:firstLineChars="0"/>
              <w:jc w:val="center"/>
              <w:rPr>
                <w:rFonts w:ascii="Times New Roman" w:hAnsi="Times New Roman" w:eastAsia="仿宋_GB2312" w:cs="Times New Roman"/>
              </w:rPr>
            </w:pPr>
          </w:p>
        </w:tc>
        <w:tc>
          <w:tcPr>
            <w:tcW w:w="1483" w:type="dxa"/>
            <w:vMerge w:val="continue"/>
            <w:vAlign w:val="center"/>
          </w:tcPr>
          <w:p w14:paraId="2650370B">
            <w:pPr>
              <w:ind w:firstLine="0" w:firstLineChars="0"/>
              <w:jc w:val="center"/>
              <w:rPr>
                <w:rFonts w:ascii="Times New Roman" w:hAnsi="Times New Roman" w:eastAsia="仿宋_GB2312" w:cs="Times New Roman"/>
              </w:rPr>
            </w:pPr>
          </w:p>
        </w:tc>
        <w:tc>
          <w:tcPr>
            <w:tcW w:w="9882" w:type="dxa"/>
            <w:vAlign w:val="center"/>
          </w:tcPr>
          <w:p w14:paraId="09C85622">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3.坚决遏制高耗能、高排放、低水平项目盲目上马，新改扩建项目严格落实国家和省产业规划、产业政策、生态环境分区管控方案、规划环评、项目环评、节能审查、产能置换、重点污染物总量控制、污染物排放区域削减、碳排放达峰目标等相关要求，原则上采用清洁运输方式。能置换的项目（煤电项目除外），被置换产能及其配套设施关停后，新建项目方可投产。</w:t>
            </w:r>
          </w:p>
          <w:p w14:paraId="28EB6422">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4.严格控制生产和使用高VOCs 含量涂料、油墨、胶粘剂、清洗剂等建设项目，不断提高低（无）VOCs 含量产品比重。</w:t>
            </w:r>
          </w:p>
        </w:tc>
        <w:tc>
          <w:tcPr>
            <w:tcW w:w="2453" w:type="dxa"/>
            <w:vAlign w:val="center"/>
          </w:tcPr>
          <w:p w14:paraId="7761F57F">
            <w:pPr>
              <w:ind w:firstLine="0" w:firstLineChars="0"/>
              <w:rPr>
                <w:rFonts w:ascii="Times New Roman" w:hAnsi="Times New Roman" w:eastAsia="仿宋_GB2312" w:cs="Times New Roman"/>
              </w:rPr>
            </w:pPr>
            <w:r>
              <w:rPr>
                <w:rFonts w:ascii="Times New Roman" w:hAnsi="Times New Roman" w:eastAsia="仿宋_GB2312" w:cs="Times New Roman"/>
              </w:rPr>
              <w:t>《</w:t>
            </w:r>
            <w:r>
              <w:rPr>
                <w:rFonts w:hint="eastAsia" w:ascii="Times New Roman" w:hAnsi="Times New Roman" w:eastAsia="仿宋_GB2312" w:cs="Times New Roman"/>
              </w:rPr>
              <w:t>晋城市人民政府关于印发晋城市落实空气质量持续改善行动计划实施方案的通知</w:t>
            </w:r>
            <w:r>
              <w:rPr>
                <w:rFonts w:ascii="Times New Roman" w:hAnsi="Times New Roman" w:eastAsia="仿宋_GB2312" w:cs="Times New Roman"/>
              </w:rPr>
              <w:t>》（</w:t>
            </w:r>
            <w:r>
              <w:rPr>
                <w:rFonts w:hint="eastAsia" w:ascii="Times New Roman" w:hAnsi="Times New Roman" w:eastAsia="仿宋_GB2312" w:cs="Times New Roman"/>
              </w:rPr>
              <w:t>晋市政发〔2024〕11 号</w:t>
            </w:r>
            <w:r>
              <w:rPr>
                <w:rFonts w:ascii="Times New Roman" w:hAnsi="Times New Roman" w:eastAsia="仿宋_GB2312" w:cs="Times New Roman"/>
              </w:rPr>
              <w:t>）</w:t>
            </w:r>
          </w:p>
        </w:tc>
      </w:tr>
      <w:tr w14:paraId="3C93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076" w:type="dxa"/>
            <w:vMerge w:val="continue"/>
            <w:vAlign w:val="center"/>
          </w:tcPr>
          <w:p w14:paraId="599F529C">
            <w:pPr>
              <w:ind w:firstLine="0" w:firstLineChars="0"/>
              <w:jc w:val="center"/>
              <w:rPr>
                <w:rFonts w:ascii="Times New Roman" w:hAnsi="Times New Roman" w:eastAsia="仿宋_GB2312" w:cs="Times New Roman"/>
              </w:rPr>
            </w:pPr>
          </w:p>
        </w:tc>
        <w:tc>
          <w:tcPr>
            <w:tcW w:w="1483" w:type="dxa"/>
            <w:vMerge w:val="continue"/>
            <w:vAlign w:val="center"/>
          </w:tcPr>
          <w:p w14:paraId="2B5E499C">
            <w:pPr>
              <w:ind w:firstLine="0" w:firstLineChars="0"/>
              <w:jc w:val="center"/>
              <w:rPr>
                <w:rFonts w:ascii="Times New Roman" w:hAnsi="Times New Roman" w:eastAsia="仿宋_GB2312" w:cs="Times New Roman"/>
              </w:rPr>
            </w:pPr>
          </w:p>
        </w:tc>
        <w:tc>
          <w:tcPr>
            <w:tcW w:w="9882" w:type="dxa"/>
            <w:vAlign w:val="center"/>
          </w:tcPr>
          <w:p w14:paraId="10886249">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5.严格新建畜禽养殖场（户）选址审核，明确新建畜禽养殖场（户）必须符合以下要求：</w:t>
            </w:r>
          </w:p>
          <w:p w14:paraId="19D88EDF">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1）新建畜禽养殖场（户）严格按照《畜禽养殖业污染防治技术规范》（HJT81-2001）、《畜禽规模养殖污染防治条例》《动物防疫条件审查办法》及相关法律法规规定的要求，选址、布局及配备设施设备等。新建畜禽养殖场（户）选址于畜禽养殖可养区内，场址符合以下条件：</w:t>
            </w:r>
            <w:r>
              <w:rPr>
                <w:rFonts w:hint="eastAsia" w:ascii="宋体" w:hAnsi="宋体"/>
              </w:rPr>
              <w:t>①</w:t>
            </w:r>
            <w:r>
              <w:rPr>
                <w:rFonts w:ascii="Times New Roman" w:hAnsi="Times New Roman" w:eastAsia="仿宋_GB2312" w:cs="Times New Roman"/>
              </w:rPr>
              <w:t>距离生活饮用水源地、动物屠宰加工场所、动物和动物产品集贸市场500米以上；距离种畜禽场1000米以上；距离动物诊疗场所200米以上；动物饲养场（养殖小区）之间距离不少于500米；</w:t>
            </w:r>
            <w:r>
              <w:rPr>
                <w:rFonts w:hint="eastAsia" w:ascii="宋体" w:hAnsi="宋体"/>
              </w:rPr>
              <w:t>②</w:t>
            </w:r>
            <w:r>
              <w:rPr>
                <w:rFonts w:ascii="Times New Roman" w:hAnsi="Times New Roman" w:eastAsia="仿宋_GB2312" w:cs="Times New Roman"/>
              </w:rPr>
              <w:t>距离动物隔离场所、无害化处理场所3000米以上；</w:t>
            </w:r>
            <w:r>
              <w:rPr>
                <w:rFonts w:hint="eastAsia" w:ascii="宋体" w:hAnsi="宋体"/>
              </w:rPr>
              <w:t>②</w:t>
            </w:r>
            <w:r>
              <w:rPr>
                <w:rFonts w:ascii="Times New Roman" w:hAnsi="Times New Roman" w:eastAsia="仿宋_GB2312" w:cs="Times New Roman"/>
              </w:rPr>
              <w:t>距离动物隔离场所、无害化处理场所3000米以上；</w:t>
            </w:r>
            <w:r>
              <w:rPr>
                <w:rFonts w:hint="eastAsia" w:ascii="宋体" w:hAnsi="宋体"/>
              </w:rPr>
              <w:t>③</w:t>
            </w:r>
            <w:r>
              <w:rPr>
                <w:rFonts w:ascii="Times New Roman" w:hAnsi="Times New Roman" w:eastAsia="仿宋_GB2312" w:cs="Times New Roman"/>
              </w:rPr>
              <w:t>距离城镇居民区、文化教育科研等人口集中区域及公路、铁路等主要交通干线500米以上。</w:t>
            </w:r>
          </w:p>
          <w:p w14:paraId="078DDE50">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（2）选址还须符合国土空间总体规划、城乡总体规划、畜牧业发展规划、生态环境功能区划和环境保护规划；</w:t>
            </w:r>
          </w:p>
          <w:p w14:paraId="3E82A23D">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（3）选址尽量设在敏感区常年主导风向的下风向或侧风向，养殖场场界与敏感区之间距离应满足其大气环境防护距离和卫生防护距离；</w:t>
            </w:r>
          </w:p>
          <w:p w14:paraId="5652B1AB">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（4）规模化畜禽养殖用地应坚持鼓励利用废弃地和荒山荒坡等未利用地、尽可能不占或少占耕地，禁止占用基本农田。</w:t>
            </w:r>
          </w:p>
        </w:tc>
        <w:tc>
          <w:tcPr>
            <w:tcW w:w="2453" w:type="dxa"/>
            <w:vAlign w:val="center"/>
          </w:tcPr>
          <w:p w14:paraId="420D62FF">
            <w:pPr>
              <w:ind w:firstLine="0" w:firstLineChars="0"/>
              <w:rPr>
                <w:rFonts w:ascii="Times New Roman" w:hAnsi="Times New Roman" w:eastAsia="仿宋_GB2312" w:cs="Times New Roman"/>
              </w:rPr>
            </w:pPr>
            <w:r>
              <w:rPr>
                <w:rFonts w:ascii="Times New Roman" w:hAnsi="Times New Roman" w:eastAsia="仿宋_GB2312" w:cs="Times New Roman"/>
              </w:rPr>
              <w:t>《关于印发&lt;晋城市畜禽养殖污染防治规划&gt;的通知》（晋市环发〔2023〕122号）</w:t>
            </w:r>
          </w:p>
        </w:tc>
      </w:tr>
      <w:tr w14:paraId="21F4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6" w:type="dxa"/>
            <w:vMerge w:val="continue"/>
            <w:vAlign w:val="center"/>
          </w:tcPr>
          <w:p w14:paraId="5C19E339">
            <w:pPr>
              <w:ind w:firstLine="0" w:firstLineChars="0"/>
              <w:jc w:val="center"/>
              <w:rPr>
                <w:rFonts w:ascii="Times New Roman" w:hAnsi="Times New Roman" w:eastAsia="仿宋_GB2312" w:cs="Times New Roman"/>
              </w:rPr>
            </w:pPr>
          </w:p>
        </w:tc>
        <w:tc>
          <w:tcPr>
            <w:tcW w:w="1483" w:type="dxa"/>
            <w:vMerge w:val="continue"/>
            <w:vAlign w:val="center"/>
          </w:tcPr>
          <w:p w14:paraId="2AF04255">
            <w:pPr>
              <w:ind w:firstLine="0" w:firstLineChars="0"/>
              <w:jc w:val="center"/>
              <w:rPr>
                <w:rFonts w:ascii="Times New Roman" w:hAnsi="Times New Roman" w:eastAsia="仿宋_GB2312" w:cs="Times New Roman"/>
              </w:rPr>
            </w:pPr>
          </w:p>
        </w:tc>
        <w:tc>
          <w:tcPr>
            <w:tcW w:w="9882" w:type="dxa"/>
            <w:vAlign w:val="center"/>
          </w:tcPr>
          <w:p w14:paraId="43BD6D63">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6.合理规划煤电机组“上大压小”，科学开展燃煤机组延寿改造，严格控制新增煤电规模。</w:t>
            </w:r>
          </w:p>
          <w:p w14:paraId="7517E7D4">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7.严格执行固定资产投资项目节能审查制度，落实原料用能和可再生能源消费不纳入能源消耗总量和强度控制政策，与本地区能耗双控目标做好衔接。落实能源消费强度和总量“双控”制度，严控二氧化碳排放强度，逐步实现能耗“双控”向碳排放总量和强度“双控”转变。</w:t>
            </w:r>
          </w:p>
          <w:p w14:paraId="5839026F">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8.严格执行钢铁行业产能置换。</w:t>
            </w:r>
          </w:p>
          <w:p w14:paraId="46F9BB29">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9.新扩建钢铁、焦化、水泥等高耗能高排放项目严格落实产能等量减量置换政策。</w:t>
            </w:r>
          </w:p>
        </w:tc>
        <w:tc>
          <w:tcPr>
            <w:tcW w:w="2453" w:type="dxa"/>
            <w:vAlign w:val="center"/>
          </w:tcPr>
          <w:p w14:paraId="097589F2">
            <w:pPr>
              <w:ind w:firstLine="0" w:firstLineChars="0"/>
              <w:rPr>
                <w:rFonts w:ascii="Times New Roman" w:hAnsi="Times New Roman" w:eastAsia="仿宋_GB2312" w:cs="Times New Roman"/>
              </w:rPr>
            </w:pPr>
            <w:r>
              <w:rPr>
                <w:rFonts w:hint="eastAsia" w:ascii="Times New Roman" w:hAnsi="Times New Roman" w:eastAsia="仿宋_GB2312" w:cs="Times New Roman"/>
              </w:rPr>
              <w:t>《晋城市人民政府关于印发晋城市碳达峰实施方案的通知》（晋市政发〔2023〕13号）</w:t>
            </w:r>
          </w:p>
        </w:tc>
      </w:tr>
      <w:tr w14:paraId="621C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076" w:type="dxa"/>
            <w:vMerge w:val="continue"/>
            <w:vAlign w:val="center"/>
          </w:tcPr>
          <w:p w14:paraId="0AB2608B">
            <w:pPr>
              <w:ind w:firstLine="0" w:firstLineChars="0"/>
              <w:jc w:val="center"/>
              <w:rPr>
                <w:rFonts w:ascii="Times New Roman" w:hAnsi="Times New Roman" w:eastAsia="仿宋_GB2312" w:cs="Times New Roman"/>
              </w:rPr>
            </w:pPr>
          </w:p>
        </w:tc>
        <w:tc>
          <w:tcPr>
            <w:tcW w:w="1483" w:type="dxa"/>
            <w:vMerge w:val="continue"/>
            <w:vAlign w:val="center"/>
          </w:tcPr>
          <w:p w14:paraId="4F252B8F">
            <w:pPr>
              <w:ind w:firstLine="0" w:firstLineChars="0"/>
              <w:jc w:val="center"/>
              <w:rPr>
                <w:rFonts w:ascii="Times New Roman" w:hAnsi="Times New Roman" w:eastAsia="仿宋_GB2312" w:cs="Times New Roman"/>
              </w:rPr>
            </w:pPr>
          </w:p>
        </w:tc>
        <w:tc>
          <w:tcPr>
            <w:tcW w:w="9882" w:type="dxa"/>
            <w:vAlign w:val="center"/>
          </w:tcPr>
          <w:p w14:paraId="34C3F225">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10.严格落实钢铁、水泥（熟料）等行业产能置换政策，严控尿素等行业新增产能，新建项目落实产能等量或减量置换，推进产能置换项目建设，加快化解过剩产能。</w:t>
            </w:r>
          </w:p>
        </w:tc>
        <w:tc>
          <w:tcPr>
            <w:tcW w:w="2453" w:type="dxa"/>
            <w:vAlign w:val="center"/>
          </w:tcPr>
          <w:p w14:paraId="2402095F">
            <w:pPr>
              <w:ind w:firstLine="0" w:firstLineChars="0"/>
              <w:rPr>
                <w:rFonts w:ascii="Times New Roman" w:hAnsi="Times New Roman" w:eastAsia="仿宋_GB2312" w:cs="Times New Roman"/>
              </w:rPr>
            </w:pPr>
            <w:r>
              <w:rPr>
                <w:rFonts w:hint="eastAsia" w:ascii="Times New Roman" w:hAnsi="Times New Roman" w:eastAsia="仿宋_GB2312" w:cs="Times New Roman"/>
              </w:rPr>
              <w:t>《关于印发&lt;晋城市工业领域碳达峰实施方案&gt;的通知》（晋市工信节能字〔2023〕83号）</w:t>
            </w:r>
          </w:p>
        </w:tc>
      </w:tr>
      <w:tr w14:paraId="4F9E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76" w:type="dxa"/>
            <w:vMerge w:val="continue"/>
            <w:vAlign w:val="center"/>
          </w:tcPr>
          <w:p w14:paraId="62D2E05C">
            <w:pPr>
              <w:ind w:firstLine="0" w:firstLineChars="0"/>
              <w:jc w:val="center"/>
              <w:rPr>
                <w:rFonts w:ascii="Times New Roman" w:hAnsi="Times New Roman" w:eastAsia="仿宋_GB2312" w:cs="Times New Roman"/>
              </w:rPr>
            </w:pPr>
          </w:p>
        </w:tc>
        <w:tc>
          <w:tcPr>
            <w:tcW w:w="1483" w:type="dxa"/>
            <w:vMerge w:val="restart"/>
            <w:vAlign w:val="center"/>
          </w:tcPr>
          <w:p w14:paraId="65B04D79">
            <w:pPr>
              <w:ind w:firstLine="0" w:firstLineChars="0"/>
              <w:jc w:val="center"/>
              <w:rPr>
                <w:rFonts w:ascii="Times New Roman" w:hAnsi="Times New Roman" w:eastAsia="仿宋_GB2312" w:cs="Times New Roman"/>
              </w:rPr>
            </w:pPr>
            <w:r>
              <w:rPr>
                <w:rFonts w:ascii="Times New Roman" w:hAnsi="Times New Roman" w:eastAsia="仿宋_GB2312" w:cs="Times New Roman"/>
              </w:rPr>
              <w:t>不符合空间布局要求活动的退出要求</w:t>
            </w:r>
          </w:p>
        </w:tc>
        <w:tc>
          <w:tcPr>
            <w:tcW w:w="9882" w:type="dxa"/>
            <w:vAlign w:val="center"/>
          </w:tcPr>
          <w:p w14:paraId="42D57A0B">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1.加快支撑性、调节性煤电项目建设，有序淘汰30 万千瓦以下燃煤机组，提高先进燃煤机组占比。</w:t>
            </w:r>
          </w:p>
          <w:p w14:paraId="35C89813">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2.对限期整改仍不达标的矿山，根据安全生产、水土保持、生态环境等要求依法关闭。</w:t>
            </w:r>
          </w:p>
        </w:tc>
        <w:tc>
          <w:tcPr>
            <w:tcW w:w="2453" w:type="dxa"/>
            <w:vAlign w:val="center"/>
          </w:tcPr>
          <w:p w14:paraId="73066A3D">
            <w:pPr>
              <w:pStyle w:val="24"/>
              <w:shd w:val="clear" w:color="auto" w:fill="FFFFFF"/>
              <w:spacing w:beforeAutospacing="0" w:afterAutospacing="0"/>
              <w:ind w:firstLine="0" w:firstLineChars="0"/>
              <w:jc w:val="both"/>
              <w:rPr>
                <w:rFonts w:ascii="Times New Roman" w:hAnsi="Times New Roman" w:eastAsia="仿宋_GB2312" w:cs="Times New Roman"/>
                <w:sz w:val="21"/>
              </w:rPr>
            </w:pPr>
            <w:r>
              <w:rPr>
                <w:rFonts w:hint="eastAsia" w:ascii="Times New Roman" w:hAnsi="Times New Roman" w:eastAsia="仿宋_GB2312" w:cs="Times New Roman"/>
                <w:sz w:val="21"/>
              </w:rPr>
              <w:t>《晋城市人民政府关于印发晋城市落实空气质量持续改善行动计划实施方案的通知》（晋市政发〔2024〕11 号）</w:t>
            </w:r>
          </w:p>
        </w:tc>
      </w:tr>
      <w:tr w14:paraId="67DC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76" w:type="dxa"/>
            <w:vMerge w:val="continue"/>
            <w:vAlign w:val="center"/>
          </w:tcPr>
          <w:p w14:paraId="3F9B4257">
            <w:pPr>
              <w:ind w:firstLine="0" w:firstLineChars="0"/>
              <w:jc w:val="center"/>
              <w:rPr>
                <w:rFonts w:ascii="Times New Roman" w:hAnsi="Times New Roman" w:eastAsia="仿宋_GB2312" w:cs="Times New Roman"/>
              </w:rPr>
            </w:pPr>
          </w:p>
        </w:tc>
        <w:tc>
          <w:tcPr>
            <w:tcW w:w="1483" w:type="dxa"/>
            <w:vMerge w:val="continue"/>
            <w:vAlign w:val="center"/>
          </w:tcPr>
          <w:p w14:paraId="76637FEC">
            <w:pPr>
              <w:ind w:firstLine="0" w:firstLineChars="0"/>
              <w:jc w:val="center"/>
              <w:rPr>
                <w:rFonts w:ascii="Times New Roman" w:hAnsi="Times New Roman" w:eastAsia="仿宋_GB2312" w:cs="Times New Roman"/>
              </w:rPr>
            </w:pPr>
          </w:p>
        </w:tc>
        <w:tc>
          <w:tcPr>
            <w:tcW w:w="9882" w:type="dxa"/>
            <w:vAlign w:val="center"/>
          </w:tcPr>
          <w:p w14:paraId="18647422">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.“禁煤区”完成所有燃煤设施以及除煤电、集中供热和原料用煤外其他煤炭“清零”任务。高污染燃料禁燃区全部取缔供热、供气管网到达区域内的燃煤设施。</w:t>
            </w:r>
          </w:p>
          <w:p w14:paraId="2983981F">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4</w:t>
            </w:r>
            <w:r>
              <w:rPr>
                <w:rFonts w:ascii="Times New Roman" w:hAnsi="Times New Roman" w:eastAsia="仿宋_GB2312" w:cs="Times New Roman"/>
              </w:rPr>
              <w:t>.实施清洁取暖改造的区域，同步完成燃煤锅炉和其他燃煤设施取缔，不得再燃用散煤。</w:t>
            </w:r>
          </w:p>
          <w:p w14:paraId="3FE09C0E">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5</w:t>
            </w:r>
            <w:r>
              <w:rPr>
                <w:rFonts w:ascii="Times New Roman" w:hAnsi="Times New Roman" w:eastAsia="仿宋_GB2312" w:cs="Times New Roman"/>
              </w:rPr>
              <w:t>.全市各类燃煤锅炉排放的二氧化硫、氮氧化物和颗粒物按期执行大气污染物特别排放限值，不能达标排放的燃煤供热锅炉依法责令停止使用，限期拆除。</w:t>
            </w:r>
          </w:p>
          <w:p w14:paraId="755BD026">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6</w:t>
            </w:r>
            <w:r>
              <w:rPr>
                <w:rFonts w:ascii="Times New Roman" w:hAnsi="Times New Roman" w:eastAsia="仿宋_GB2312" w:cs="Times New Roman"/>
              </w:rPr>
              <w:t>.全市各类工业园区以及产业集聚的地区，应逐步取消燃煤锅炉，改用天然气等清洁能源或由周边热电厂集中供热。</w:t>
            </w:r>
          </w:p>
          <w:p w14:paraId="649653F2">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7</w:t>
            </w:r>
            <w:r>
              <w:rPr>
                <w:rFonts w:ascii="Times New Roman" w:hAnsi="Times New Roman" w:eastAsia="仿宋_GB2312" w:cs="Times New Roman"/>
              </w:rPr>
              <w:t>.在允许民用散煤使用的地区，按要求销售和使用硫份小于1%、灰分小于16%的民用散煤。</w:t>
            </w:r>
          </w:p>
        </w:tc>
        <w:tc>
          <w:tcPr>
            <w:tcW w:w="2453" w:type="dxa"/>
            <w:vAlign w:val="center"/>
          </w:tcPr>
          <w:p w14:paraId="675337A9">
            <w:pPr>
              <w:pStyle w:val="24"/>
              <w:shd w:val="clear" w:color="auto" w:fill="FFFFFF"/>
              <w:spacing w:beforeAutospacing="0" w:afterAutospacing="0"/>
              <w:ind w:firstLine="0" w:firstLineChars="0"/>
              <w:jc w:val="both"/>
              <w:rPr>
                <w:rFonts w:ascii="Times New Roman" w:hAnsi="Times New Roman" w:eastAsia="仿宋_GB2312" w:cs="Times New Roman"/>
                <w:sz w:val="21"/>
              </w:rPr>
            </w:pPr>
            <w:r>
              <w:rPr>
                <w:rFonts w:ascii="Times New Roman" w:hAnsi="Times New Roman" w:eastAsia="仿宋_GB2312" w:cs="Times New Roman"/>
                <w:kern w:val="2"/>
                <w:sz w:val="21"/>
              </w:rPr>
              <w:t>《晋城市人民政府办公厅关于印发&lt;晋城市燃煤污染防治实施细则&gt;的通知》（晋市政办〔2017〕81号）</w:t>
            </w:r>
          </w:p>
        </w:tc>
      </w:tr>
      <w:tr w14:paraId="45D7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6" w:type="dxa"/>
            <w:vMerge w:val="continue"/>
            <w:vAlign w:val="center"/>
          </w:tcPr>
          <w:p w14:paraId="472B6632">
            <w:pPr>
              <w:ind w:firstLine="0" w:firstLineChars="0"/>
              <w:jc w:val="center"/>
              <w:rPr>
                <w:rFonts w:ascii="Times New Roman" w:hAnsi="Times New Roman" w:eastAsia="仿宋_GB2312" w:cs="Times New Roman"/>
              </w:rPr>
            </w:pPr>
          </w:p>
        </w:tc>
        <w:tc>
          <w:tcPr>
            <w:tcW w:w="1483" w:type="dxa"/>
            <w:vMerge w:val="continue"/>
            <w:vAlign w:val="center"/>
          </w:tcPr>
          <w:p w14:paraId="136B3CF8">
            <w:pPr>
              <w:ind w:firstLine="0" w:firstLineChars="0"/>
              <w:jc w:val="center"/>
              <w:rPr>
                <w:rFonts w:ascii="Times New Roman" w:hAnsi="Times New Roman" w:eastAsia="仿宋_GB2312" w:cs="Times New Roman"/>
              </w:rPr>
            </w:pPr>
          </w:p>
        </w:tc>
        <w:tc>
          <w:tcPr>
            <w:tcW w:w="9882" w:type="dxa"/>
            <w:vAlign w:val="center"/>
          </w:tcPr>
          <w:p w14:paraId="2D174C1F">
            <w:pPr>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8</w:t>
            </w:r>
            <w:r>
              <w:rPr>
                <w:rFonts w:ascii="Times New Roman" w:hAnsi="Times New Roman" w:eastAsia="仿宋_GB2312" w:cs="Times New Roman"/>
              </w:rPr>
              <w:t>.严格控制生产企业取用泉域岩溶地下水，分步推进超采区内已建高耗水企业退出。</w:t>
            </w:r>
          </w:p>
        </w:tc>
        <w:tc>
          <w:tcPr>
            <w:tcW w:w="2453" w:type="dxa"/>
            <w:vAlign w:val="center"/>
          </w:tcPr>
          <w:p w14:paraId="5B68686F">
            <w:pPr>
              <w:ind w:firstLine="0" w:firstLineChars="0"/>
              <w:rPr>
                <w:rFonts w:ascii="Times New Roman" w:hAnsi="Times New Roman" w:eastAsia="仿宋_GB2312" w:cs="Times New Roman"/>
                <w:spacing w:val="-6"/>
              </w:rPr>
            </w:pPr>
            <w:r>
              <w:rPr>
                <w:rFonts w:ascii="Times New Roman" w:hAnsi="Times New Roman" w:eastAsia="仿宋_GB2312" w:cs="Times New Roman"/>
                <w:spacing w:val="-6"/>
              </w:rPr>
              <w:t>《关于印发国家节水行动晋城实施细则的通知》（晋市政发</w:t>
            </w:r>
            <w:r>
              <w:rPr>
                <w:rFonts w:ascii="Times New Roman" w:hAnsi="Times New Roman" w:eastAsia="仿宋_GB2312" w:cs="Times New Roman"/>
              </w:rPr>
              <w:t>〔</w:t>
            </w:r>
            <w:r>
              <w:rPr>
                <w:rFonts w:ascii="Times New Roman" w:hAnsi="Times New Roman" w:eastAsia="仿宋_GB2312" w:cs="Times New Roman"/>
                <w:spacing w:val="-6"/>
              </w:rPr>
              <w:t>2020〕8号）</w:t>
            </w:r>
          </w:p>
        </w:tc>
      </w:tr>
      <w:tr w14:paraId="5633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076" w:type="dxa"/>
            <w:vMerge w:val="continue"/>
            <w:vAlign w:val="center"/>
          </w:tcPr>
          <w:p w14:paraId="458D3965">
            <w:pPr>
              <w:ind w:firstLine="0" w:firstLineChars="0"/>
              <w:jc w:val="center"/>
              <w:rPr>
                <w:rFonts w:ascii="Times New Roman" w:hAnsi="Times New Roman" w:eastAsia="仿宋_GB2312" w:cs="Times New Roman"/>
              </w:rPr>
            </w:pPr>
          </w:p>
        </w:tc>
        <w:tc>
          <w:tcPr>
            <w:tcW w:w="1483" w:type="dxa"/>
            <w:vMerge w:val="continue"/>
            <w:vAlign w:val="center"/>
          </w:tcPr>
          <w:p w14:paraId="58324CDC">
            <w:pPr>
              <w:ind w:firstLine="0" w:firstLineChars="0"/>
              <w:jc w:val="center"/>
              <w:rPr>
                <w:rFonts w:ascii="Times New Roman" w:hAnsi="Times New Roman" w:eastAsia="仿宋_GB2312" w:cs="Times New Roman"/>
              </w:rPr>
            </w:pPr>
          </w:p>
        </w:tc>
        <w:tc>
          <w:tcPr>
            <w:tcW w:w="9882" w:type="dxa"/>
            <w:vAlign w:val="center"/>
          </w:tcPr>
          <w:p w14:paraId="1B655980">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9.对违反法律法规规定，在饮用水水源保护区、泉域重点保护区、自然保护地、生态保护红线、永久基本农田及其他需要特殊保护区域内设置的入河排污口，由各县（市、区）政府、开发区管委会依法采取责令拆除、责令关闭等措施进行取缔。</w:t>
            </w:r>
          </w:p>
        </w:tc>
        <w:tc>
          <w:tcPr>
            <w:tcW w:w="2453" w:type="dxa"/>
            <w:vAlign w:val="center"/>
          </w:tcPr>
          <w:p w14:paraId="273BE52A">
            <w:pPr>
              <w:tabs>
                <w:tab w:val="left" w:pos="2865"/>
                <w:tab w:val="center" w:pos="3719"/>
              </w:tabs>
              <w:ind w:firstLine="0" w:firstLineChars="0"/>
              <w:rPr>
                <w:rFonts w:ascii="Times New Roman" w:hAnsi="Times New Roman" w:eastAsia="仿宋_GB2312" w:cs="Times New Roman"/>
              </w:rPr>
            </w:pPr>
            <w:r>
              <w:rPr>
                <w:rFonts w:ascii="Times New Roman" w:hAnsi="Times New Roman" w:eastAsia="仿宋_GB2312" w:cs="Times New Roman"/>
              </w:rPr>
              <w:t>《晋城市人民政府办公室印发&lt;关于加强全市入河排污口监督管理工作的实施方案&gt;的通知（晋市政办〔2023〕11号）》</w:t>
            </w:r>
          </w:p>
        </w:tc>
      </w:tr>
      <w:tr w14:paraId="303A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076" w:type="dxa"/>
            <w:vMerge w:val="continue"/>
            <w:vAlign w:val="center"/>
          </w:tcPr>
          <w:p w14:paraId="16019F3C">
            <w:pPr>
              <w:ind w:firstLine="0" w:firstLineChars="0"/>
              <w:jc w:val="center"/>
              <w:rPr>
                <w:rFonts w:ascii="Times New Roman" w:hAnsi="Times New Roman" w:eastAsia="仿宋_GB2312" w:cs="Times New Roman"/>
              </w:rPr>
            </w:pPr>
          </w:p>
        </w:tc>
        <w:tc>
          <w:tcPr>
            <w:tcW w:w="1483" w:type="dxa"/>
            <w:vMerge w:val="continue"/>
            <w:vAlign w:val="center"/>
          </w:tcPr>
          <w:p w14:paraId="36776D86">
            <w:pPr>
              <w:ind w:firstLine="0" w:firstLineChars="0"/>
              <w:jc w:val="center"/>
              <w:rPr>
                <w:rFonts w:ascii="Times New Roman" w:hAnsi="Times New Roman" w:eastAsia="仿宋_GB2312" w:cs="Times New Roman"/>
              </w:rPr>
            </w:pPr>
          </w:p>
        </w:tc>
        <w:tc>
          <w:tcPr>
            <w:tcW w:w="9882" w:type="dxa"/>
            <w:vAlign w:val="center"/>
          </w:tcPr>
          <w:p w14:paraId="3FE58AA0">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10.对禁养区内现有畜禽养殖场（户），逐步进行拆迁转移，严格执行国家《生态环境保护“十四五”规划》，“2025年年底前依法关闭和搬迁禁养区内的畜禽养殖场（小区）和养殖户”。</w:t>
            </w:r>
          </w:p>
        </w:tc>
        <w:tc>
          <w:tcPr>
            <w:tcW w:w="2453" w:type="dxa"/>
            <w:vAlign w:val="center"/>
          </w:tcPr>
          <w:p w14:paraId="16A80E89">
            <w:pPr>
              <w:tabs>
                <w:tab w:val="left" w:pos="2865"/>
                <w:tab w:val="center" w:pos="3719"/>
              </w:tabs>
              <w:ind w:firstLine="0" w:firstLineChars="0"/>
              <w:rPr>
                <w:rFonts w:ascii="Times New Roman" w:hAnsi="Times New Roman" w:eastAsia="仿宋_GB2312" w:cs="Times New Roman"/>
              </w:rPr>
            </w:pPr>
            <w:r>
              <w:rPr>
                <w:rFonts w:ascii="Times New Roman" w:hAnsi="Times New Roman" w:eastAsia="仿宋_GB2312" w:cs="Times New Roman"/>
              </w:rPr>
              <w:t>《关于印发&lt;晋城市畜禽养殖污染防治规划&gt;的通知》（晋市环发〔2023〕122号）</w:t>
            </w:r>
          </w:p>
        </w:tc>
      </w:tr>
      <w:tr w14:paraId="52FF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559" w:type="dxa"/>
            <w:gridSpan w:val="2"/>
            <w:vMerge w:val="restart"/>
            <w:vAlign w:val="center"/>
          </w:tcPr>
          <w:p w14:paraId="3289CB84">
            <w:pPr>
              <w:ind w:firstLine="0" w:firstLineChars="0"/>
              <w:jc w:val="center"/>
              <w:rPr>
                <w:rFonts w:ascii="Times New Roman" w:hAnsi="Times New Roman" w:eastAsia="仿宋_GB2312" w:cs="Times New Roman"/>
              </w:rPr>
            </w:pPr>
            <w:r>
              <w:rPr>
                <w:rFonts w:ascii="Times New Roman" w:hAnsi="Times New Roman" w:eastAsia="仿宋_GB2312" w:cs="Times New Roman"/>
              </w:rPr>
              <w:t>污染物排放管控</w:t>
            </w:r>
          </w:p>
        </w:tc>
        <w:tc>
          <w:tcPr>
            <w:tcW w:w="9882" w:type="dxa"/>
            <w:vAlign w:val="center"/>
          </w:tcPr>
          <w:p w14:paraId="0E2FC0C3">
            <w:pPr>
              <w:widowControl/>
              <w:shd w:val="clear" w:color="auto" w:fill="FFFFFF"/>
              <w:ind w:firstLine="0" w:firstLineChars="0"/>
              <w:jc w:val="left"/>
              <w:rPr>
                <w:rFonts w:ascii="Times New Roman" w:hAnsi="Times New Roman" w:eastAsia="仿宋_GB2312" w:cs="Times New Roman"/>
                <w:kern w:val="0"/>
                <w:shd w:val="clear" w:color="auto" w:fill="FFFFFF"/>
                <w:lang w:bidi="ar"/>
              </w:rPr>
            </w:pPr>
            <w:r>
              <w:rPr>
                <w:rFonts w:ascii="Times New Roman" w:hAnsi="Times New Roman" w:eastAsia="仿宋_GB2312" w:cs="Times New Roman"/>
                <w:kern w:val="0"/>
                <w:shd w:val="clear" w:color="auto" w:fill="FFFFFF"/>
                <w:lang w:bidi="ar"/>
              </w:rPr>
              <w:t>1.在沁河干流管理范围线之外100米和支流管理范围线之外50米建设生态缓冲带，其他河流和重点湖库两岸以及划定的河湖库管理范围线之外30-50米建设生态缓冲带，宜林地段结合堤岸防护营造防护林带，平川水系，山区河滨带优先选择本地水生植物、低秆植物、恢复湖库生态功能，实现水域、陆域生境联通，保护生物多样性。</w:t>
            </w:r>
          </w:p>
          <w:p w14:paraId="29CB3538">
            <w:pPr>
              <w:widowControl/>
              <w:shd w:val="clear" w:color="auto" w:fill="FFFFFF"/>
              <w:ind w:firstLine="0" w:firstLineChars="0"/>
              <w:jc w:val="left"/>
              <w:rPr>
                <w:rFonts w:ascii="Times New Roman" w:hAnsi="Times New Roman" w:eastAsia="仿宋_GB2312" w:cs="Times New Roman"/>
                <w:kern w:val="0"/>
                <w:shd w:val="clear" w:color="auto" w:fill="FFFFFF"/>
                <w:lang w:bidi="ar"/>
              </w:rPr>
            </w:pPr>
            <w:r>
              <w:rPr>
                <w:rFonts w:hint="eastAsia" w:ascii="Times New Roman" w:hAnsi="Times New Roman" w:eastAsia="仿宋_GB2312" w:cs="Times New Roman"/>
                <w:kern w:val="0"/>
                <w:shd w:val="clear" w:color="auto" w:fill="FFFFFF"/>
                <w:lang w:bidi="ar"/>
              </w:rPr>
              <w:t>2</w:t>
            </w:r>
            <w:r>
              <w:rPr>
                <w:rFonts w:ascii="Times New Roman" w:hAnsi="Times New Roman" w:eastAsia="仿宋_GB2312" w:cs="Times New Roman"/>
                <w:kern w:val="0"/>
                <w:shd w:val="clear" w:color="auto" w:fill="FFFFFF"/>
                <w:lang w:bidi="ar"/>
              </w:rPr>
              <w:t>.全面实施第四阶段非道路移动机械排放标准。</w:t>
            </w:r>
          </w:p>
          <w:p w14:paraId="4EC1A1C0">
            <w:pPr>
              <w:widowControl/>
              <w:shd w:val="clear" w:color="auto" w:fill="FFFFFF"/>
              <w:ind w:firstLine="0" w:firstLineChars="0"/>
              <w:jc w:val="left"/>
              <w:rPr>
                <w:rFonts w:ascii="Times New Roman" w:hAnsi="Times New Roman" w:eastAsia="仿宋_GB2312" w:cs="Times New Roman"/>
                <w:kern w:val="0"/>
                <w:shd w:val="clear" w:color="auto" w:fill="FFFFFF"/>
                <w:lang w:bidi="ar"/>
              </w:rPr>
            </w:pPr>
            <w:r>
              <w:rPr>
                <w:rFonts w:hint="eastAsia" w:ascii="Times New Roman" w:hAnsi="Times New Roman" w:eastAsia="仿宋_GB2312" w:cs="Times New Roman"/>
                <w:kern w:val="0"/>
                <w:shd w:val="clear" w:color="auto" w:fill="FFFFFF"/>
                <w:lang w:bidi="ar"/>
              </w:rPr>
              <w:t>3</w:t>
            </w:r>
            <w:r>
              <w:rPr>
                <w:rFonts w:ascii="Times New Roman" w:hAnsi="Times New Roman" w:eastAsia="仿宋_GB2312" w:cs="Times New Roman"/>
                <w:kern w:val="0"/>
                <w:shd w:val="clear" w:color="auto" w:fill="FFFFFF"/>
                <w:lang w:bidi="ar"/>
              </w:rPr>
              <w:t>.原则上钢铁（铸造）、水泥、焦化行业及年货运量150万吨以上的</w:t>
            </w:r>
            <w:r>
              <w:rPr>
                <w:rFonts w:hint="eastAsia" w:ascii="Times New Roman" w:hAnsi="Times New Roman" w:eastAsia="仿宋_GB2312" w:cs="Times New Roman"/>
                <w:kern w:val="0"/>
                <w:shd w:val="clear" w:color="auto" w:fill="FFFFFF"/>
                <w:lang w:bidi="ar"/>
              </w:rPr>
              <w:t>工矿</w:t>
            </w:r>
            <w:r>
              <w:rPr>
                <w:rFonts w:ascii="Times New Roman" w:hAnsi="Times New Roman" w:eastAsia="仿宋_GB2312" w:cs="Times New Roman"/>
                <w:kern w:val="0"/>
                <w:shd w:val="clear" w:color="auto" w:fill="FFFFFF"/>
                <w:lang w:bidi="ar"/>
              </w:rPr>
              <w:t>企业大宗货物清洁运输比例达到100%。</w:t>
            </w:r>
          </w:p>
          <w:p w14:paraId="596127A6">
            <w:pPr>
              <w:widowControl/>
              <w:shd w:val="clear" w:color="auto" w:fill="FFFFFF"/>
              <w:ind w:firstLine="0" w:firstLineChars="0"/>
              <w:jc w:val="left"/>
              <w:rPr>
                <w:rFonts w:ascii="Times New Roman" w:hAnsi="Times New Roman" w:eastAsia="仿宋_GB2312" w:cs="Times New Roman"/>
                <w:kern w:val="0"/>
                <w:shd w:val="clear" w:color="auto" w:fill="FFFFFF"/>
                <w:lang w:bidi="ar"/>
              </w:rPr>
            </w:pPr>
            <w:r>
              <w:rPr>
                <w:rFonts w:hint="eastAsia" w:ascii="Times New Roman" w:hAnsi="Times New Roman" w:eastAsia="仿宋_GB2312" w:cs="Times New Roman"/>
                <w:kern w:val="0"/>
                <w:shd w:val="clear" w:color="auto" w:fill="FFFFFF"/>
                <w:lang w:bidi="ar"/>
              </w:rPr>
              <w:t>4</w:t>
            </w:r>
            <w:r>
              <w:rPr>
                <w:rFonts w:ascii="Times New Roman" w:hAnsi="Times New Roman" w:eastAsia="仿宋_GB2312" w:cs="Times New Roman"/>
                <w:kern w:val="0"/>
                <w:shd w:val="clear" w:color="auto" w:fill="FFFFFF"/>
                <w:lang w:bidi="ar"/>
              </w:rPr>
              <w:t>.对于存放可溶性剧毒废渣的场所，要采取防水、防渗漏、防流失的措施。</w:t>
            </w:r>
          </w:p>
          <w:p w14:paraId="1088DAD3">
            <w:pPr>
              <w:widowControl/>
              <w:shd w:val="clear" w:color="auto" w:fill="FFFFFF"/>
              <w:ind w:firstLine="0" w:firstLineChars="0"/>
              <w:jc w:val="left"/>
              <w:rPr>
                <w:rFonts w:ascii="Times New Roman" w:hAnsi="Times New Roman" w:eastAsia="仿宋_GB2312" w:cs="Times New Roman"/>
                <w:kern w:val="0"/>
                <w:shd w:val="clear" w:color="auto" w:fill="FFFFFF"/>
                <w:lang w:bidi="ar"/>
              </w:rPr>
            </w:pPr>
            <w:r>
              <w:rPr>
                <w:rFonts w:hint="eastAsia" w:ascii="Times New Roman" w:hAnsi="Times New Roman" w:eastAsia="仿宋_GB2312" w:cs="Times New Roman"/>
                <w:kern w:val="0"/>
                <w:shd w:val="clear" w:color="auto" w:fill="FFFFFF"/>
                <w:lang w:bidi="ar"/>
              </w:rPr>
              <w:t>5</w:t>
            </w:r>
            <w:r>
              <w:rPr>
                <w:rFonts w:ascii="Times New Roman" w:hAnsi="Times New Roman" w:eastAsia="仿宋_GB2312" w:cs="Times New Roman"/>
                <w:kern w:val="0"/>
                <w:shd w:val="clear" w:color="auto" w:fill="FFFFFF"/>
                <w:lang w:bidi="ar"/>
              </w:rPr>
              <w:t>.矿井、钻井、取水井报废、未建成或者完成勘探、试验、开采任务的，要督促工程所有权人按照相关技术标准指南开展封井回填。对已经造成地下水串层污染的，要督促工程所有权人对造成的地下水污染进行治理和修复；对工程所有权人不明或缺失的，由当地政府对造成的地下水污染进行治理和修复。</w:t>
            </w:r>
          </w:p>
          <w:p w14:paraId="3F2DABA9">
            <w:pPr>
              <w:shd w:val="clear" w:color="auto" w:fill="FFFFFF"/>
              <w:ind w:firstLine="0" w:firstLineChars="0"/>
              <w:jc w:val="left"/>
              <w:rPr>
                <w:rFonts w:ascii="Times New Roman" w:hAnsi="Times New Roman" w:eastAsia="仿宋_GB2312" w:cs="Times New Roman"/>
                <w:kern w:val="0"/>
                <w:shd w:val="clear" w:color="auto" w:fill="FFFFFF"/>
                <w:lang w:bidi="ar"/>
              </w:rPr>
            </w:pPr>
            <w:r>
              <w:rPr>
                <w:rFonts w:hint="eastAsia" w:ascii="Times New Roman" w:hAnsi="Times New Roman" w:eastAsia="仿宋_GB2312" w:cs="Times New Roman"/>
                <w:kern w:val="0"/>
                <w:shd w:val="clear" w:color="auto" w:fill="FFFFFF"/>
                <w:lang w:bidi="ar"/>
              </w:rPr>
              <w:t>6</w:t>
            </w:r>
            <w:r>
              <w:rPr>
                <w:rFonts w:ascii="Times New Roman" w:hAnsi="Times New Roman" w:eastAsia="仿宋_GB2312" w:cs="Times New Roman"/>
                <w:kern w:val="0"/>
                <w:shd w:val="clear" w:color="auto" w:fill="FFFFFF"/>
                <w:lang w:bidi="ar"/>
              </w:rPr>
              <w:t>.多层含水层开采、回灌地下水应当防止串层污染。多层地下水的含水层水质差异大的，应当分层开采。对已受污染的潜水和承压水，不得</w:t>
            </w:r>
            <w:r>
              <w:rPr>
                <w:rFonts w:hint="eastAsia" w:ascii="Times New Roman" w:hAnsi="Times New Roman" w:eastAsia="仿宋_GB2312" w:cs="Times New Roman"/>
                <w:kern w:val="0"/>
                <w:shd w:val="clear" w:color="auto" w:fill="FFFFFF"/>
                <w:lang w:bidi="ar"/>
              </w:rPr>
              <w:t>混合</w:t>
            </w:r>
            <w:r>
              <w:rPr>
                <w:rFonts w:ascii="Times New Roman" w:hAnsi="Times New Roman" w:eastAsia="仿宋_GB2312" w:cs="Times New Roman"/>
                <w:kern w:val="0"/>
                <w:shd w:val="clear" w:color="auto" w:fill="FFFFFF"/>
                <w:lang w:bidi="ar"/>
              </w:rPr>
              <w:t>开采。</w:t>
            </w:r>
          </w:p>
        </w:tc>
        <w:tc>
          <w:tcPr>
            <w:tcW w:w="2453" w:type="dxa"/>
            <w:vAlign w:val="center"/>
          </w:tcPr>
          <w:p w14:paraId="3CF850E6">
            <w:pPr>
              <w:ind w:firstLine="0" w:firstLineChars="0"/>
              <w:rPr>
                <w:rFonts w:ascii="Times New Roman" w:hAnsi="Times New Roman" w:eastAsia="仿宋_GB2312" w:cs="Times New Roman"/>
              </w:rPr>
            </w:pPr>
            <w:r>
              <w:rPr>
                <w:rFonts w:ascii="Times New Roman" w:hAnsi="Times New Roman" w:eastAsia="仿宋_GB2312" w:cs="Times New Roman"/>
              </w:rPr>
              <w:t>《晋城市人民政府办公室关于印发晋城市空气、水环境质量再提升和土壤、地下水污染防治2023年行动计划的通知》（晋市政办〔2023〕14号）</w:t>
            </w:r>
          </w:p>
        </w:tc>
      </w:tr>
      <w:tr w14:paraId="785A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2559" w:type="dxa"/>
            <w:gridSpan w:val="2"/>
            <w:vMerge w:val="continue"/>
            <w:vAlign w:val="center"/>
          </w:tcPr>
          <w:p w14:paraId="686092BF">
            <w:pPr>
              <w:ind w:firstLine="0" w:firstLineChars="0"/>
              <w:jc w:val="center"/>
              <w:rPr>
                <w:rFonts w:ascii="Times New Roman" w:hAnsi="Times New Roman" w:eastAsia="仿宋_GB2312" w:cs="Times New Roman"/>
              </w:rPr>
            </w:pPr>
          </w:p>
        </w:tc>
        <w:tc>
          <w:tcPr>
            <w:tcW w:w="9882" w:type="dxa"/>
            <w:vAlign w:val="center"/>
          </w:tcPr>
          <w:p w14:paraId="29C641B4">
            <w:pPr>
              <w:widowControl/>
              <w:ind w:firstLine="0" w:firstLineChars="0"/>
              <w:jc w:val="left"/>
              <w:rPr>
                <w:rFonts w:ascii="Times New Roman" w:hAnsi="Times New Roman" w:eastAsia="仿宋_GB2312" w:cs="Times New Roman"/>
                <w:kern w:val="0"/>
                <w:shd w:val="clear" w:color="auto" w:fill="FFFFFF"/>
                <w:lang w:bidi="ar"/>
              </w:rPr>
            </w:pPr>
            <w:r>
              <w:rPr>
                <w:rFonts w:hint="eastAsia" w:ascii="Times New Roman" w:hAnsi="Times New Roman" w:eastAsia="仿宋_GB2312" w:cs="Times New Roman"/>
                <w:kern w:val="0"/>
                <w:shd w:val="clear" w:color="auto" w:fill="FFFFFF"/>
                <w:lang w:bidi="ar"/>
              </w:rPr>
              <w:t>7.</w:t>
            </w:r>
            <w:r>
              <w:rPr>
                <w:rFonts w:ascii="Times New Roman" w:hAnsi="Times New Roman" w:eastAsia="仿宋_GB2312" w:cs="Times New Roman"/>
                <w:kern w:val="0"/>
                <w:shd w:val="clear" w:color="auto" w:fill="FFFFFF"/>
                <w:lang w:bidi="ar"/>
              </w:rPr>
              <w:t>在生产、销售、进口、使用等环节严格执行VOCs 含量限值标准。</w:t>
            </w:r>
          </w:p>
          <w:p w14:paraId="2CFEADD1">
            <w:pPr>
              <w:widowControl/>
              <w:ind w:firstLine="0" w:firstLineChars="0"/>
              <w:jc w:val="left"/>
              <w:rPr>
                <w:rFonts w:ascii="Times New Roman" w:hAnsi="Times New Roman" w:eastAsia="仿宋_GB2312" w:cs="Times New Roman"/>
                <w:kern w:val="0"/>
                <w:shd w:val="clear" w:color="auto" w:fill="FFFFFF"/>
                <w:lang w:bidi="ar"/>
              </w:rPr>
            </w:pPr>
            <w:r>
              <w:rPr>
                <w:rFonts w:hint="eastAsia" w:ascii="Times New Roman" w:hAnsi="Times New Roman" w:eastAsia="仿宋_GB2312" w:cs="Times New Roman"/>
                <w:kern w:val="0"/>
                <w:shd w:val="clear" w:color="auto" w:fill="FFFFFF"/>
                <w:lang w:bidi="ar"/>
              </w:rPr>
              <w:t>8.</w:t>
            </w:r>
            <w:r>
              <w:rPr>
                <w:rFonts w:ascii="Times New Roman" w:hAnsi="Times New Roman" w:eastAsia="仿宋_GB2312" w:cs="Times New Roman"/>
                <w:kern w:val="0"/>
                <w:shd w:val="clear" w:color="auto" w:fill="FFFFFF"/>
                <w:lang w:bidi="ar"/>
              </w:rPr>
              <w:t>新建矿山原则上要同步建设铁路专用线或采用其他清洁运输方式。</w:t>
            </w:r>
          </w:p>
          <w:p w14:paraId="6AC0B2FB">
            <w:pPr>
              <w:widowControl/>
              <w:ind w:firstLine="0" w:firstLineChars="0"/>
              <w:jc w:val="left"/>
              <w:rPr>
                <w:rFonts w:ascii="Times New Roman" w:hAnsi="Times New Roman" w:eastAsia="仿宋_GB2312" w:cs="Times New Roman"/>
                <w:kern w:val="0"/>
                <w:shd w:val="clear" w:color="auto" w:fill="FFFFFF"/>
                <w:lang w:bidi="ar"/>
              </w:rPr>
            </w:pPr>
            <w:r>
              <w:rPr>
                <w:rFonts w:hint="eastAsia" w:ascii="Times New Roman" w:hAnsi="Times New Roman" w:eastAsia="仿宋_GB2312" w:cs="Times New Roman"/>
                <w:kern w:val="0"/>
                <w:shd w:val="clear" w:color="auto" w:fill="FFFFFF"/>
                <w:lang w:bidi="ar"/>
              </w:rPr>
              <w:t>9.</w:t>
            </w:r>
            <w:r>
              <w:rPr>
                <w:rFonts w:ascii="Times New Roman" w:hAnsi="Times New Roman" w:eastAsia="仿宋_GB2312" w:cs="Times New Roman"/>
                <w:kern w:val="0"/>
                <w:shd w:val="clear" w:color="auto" w:fill="FFFFFF"/>
                <w:lang w:bidi="ar"/>
              </w:rPr>
              <w:t>汽车罐车推广使用密封式快速接头。污水处理场所高浓度有机废气要单独收集处理；含VOCs 有机废水储罐、装置区集水井（池）有机废气要密闭收集处理。化工企业规范开展泄漏检测与修复。企业开停工、检维修期间，及时收集处理退料、清洗、吹扫等作业产生的VOCs 废气。企业不得将火炬燃烧装置作为日常大气污染处理设施。</w:t>
            </w:r>
          </w:p>
          <w:p w14:paraId="1A189E46">
            <w:pPr>
              <w:widowControl/>
              <w:ind w:firstLine="0" w:firstLineChars="0"/>
              <w:jc w:val="left"/>
              <w:rPr>
                <w:rFonts w:ascii="Times New Roman" w:hAnsi="Times New Roman" w:eastAsia="仿宋_GB2312" w:cs="Times New Roman"/>
                <w:kern w:val="0"/>
                <w:shd w:val="clear" w:color="auto" w:fill="FFFFFF"/>
                <w:lang w:bidi="ar"/>
              </w:rPr>
            </w:pPr>
            <w:r>
              <w:rPr>
                <w:rFonts w:ascii="Times New Roman" w:hAnsi="Times New Roman" w:eastAsia="仿宋_GB2312" w:cs="Times New Roman"/>
                <w:kern w:val="0"/>
                <w:shd w:val="clear" w:color="auto" w:fill="FFFFFF"/>
                <w:lang w:bidi="ar"/>
              </w:rPr>
              <w:t>1</w:t>
            </w:r>
            <w:r>
              <w:rPr>
                <w:rFonts w:hint="eastAsia" w:ascii="Times New Roman" w:hAnsi="Times New Roman" w:eastAsia="仿宋_GB2312" w:cs="Times New Roman"/>
                <w:kern w:val="0"/>
                <w:shd w:val="clear" w:color="auto" w:fill="FFFFFF"/>
                <w:lang w:bidi="ar"/>
              </w:rPr>
              <w:t>0.</w:t>
            </w:r>
            <w:r>
              <w:rPr>
                <w:rFonts w:ascii="Times New Roman" w:hAnsi="Times New Roman" w:eastAsia="仿宋_GB2312" w:cs="Times New Roman"/>
                <w:kern w:val="0"/>
                <w:shd w:val="clear" w:color="auto" w:fill="FFFFFF"/>
                <w:lang w:bidi="ar"/>
              </w:rPr>
              <w:t>加大生物质锅炉排放监管力度，推进整合小型生物质锅炉，4 蒸吨及以下的生物质锅炉逐步实施集中供暖、改电、改气等清洁能源替代。保留生物质锅炉采用专用锅炉，配套布袋等高效除尘设施，禁止掺烧煤炭、生活垃圾等其他物料。强化治污设施运行维护，减少非正常工况排放。</w:t>
            </w:r>
          </w:p>
          <w:p w14:paraId="3E7B61D8">
            <w:pPr>
              <w:widowControl/>
              <w:ind w:firstLine="0" w:firstLineChars="0"/>
              <w:jc w:val="left"/>
              <w:rPr>
                <w:rFonts w:ascii="Times New Roman" w:hAnsi="Times New Roman" w:eastAsia="仿宋_GB2312" w:cs="Times New Roman"/>
                <w:kern w:val="0"/>
                <w:shd w:val="clear" w:color="auto" w:fill="FFFFFF"/>
                <w:lang w:bidi="ar"/>
              </w:rPr>
            </w:pPr>
            <w:r>
              <w:rPr>
                <w:rFonts w:ascii="Times New Roman" w:hAnsi="Times New Roman" w:eastAsia="仿宋_GB2312" w:cs="Times New Roman"/>
                <w:kern w:val="0"/>
                <w:shd w:val="clear" w:color="auto" w:fill="FFFFFF"/>
                <w:lang w:bidi="ar"/>
              </w:rPr>
              <w:t>1</w:t>
            </w:r>
            <w:r>
              <w:rPr>
                <w:rFonts w:hint="eastAsia" w:ascii="Times New Roman" w:hAnsi="Times New Roman" w:eastAsia="仿宋_GB2312" w:cs="Times New Roman"/>
                <w:kern w:val="0"/>
                <w:shd w:val="clear" w:color="auto" w:fill="FFFFFF"/>
                <w:lang w:bidi="ar"/>
              </w:rPr>
              <w:t>1.</w:t>
            </w:r>
            <w:r>
              <w:rPr>
                <w:rFonts w:ascii="Times New Roman" w:hAnsi="Times New Roman" w:eastAsia="仿宋_GB2312" w:cs="Times New Roman"/>
                <w:kern w:val="0"/>
                <w:shd w:val="clear" w:color="auto" w:fill="FFFFFF"/>
                <w:lang w:bidi="ar"/>
              </w:rPr>
              <w:t>重点涉气企业取消烟气和含VOCs 废气旁路，因安全生产需要无法取消的，安装在线监控系统及备用处置设施。</w:t>
            </w:r>
          </w:p>
          <w:p w14:paraId="4FD36738">
            <w:pPr>
              <w:widowControl/>
              <w:ind w:firstLine="0" w:firstLineChars="0"/>
              <w:jc w:val="left"/>
              <w:rPr>
                <w:rFonts w:ascii="Times New Roman" w:hAnsi="Times New Roman" w:eastAsia="仿宋_GB2312" w:cs="Times New Roman"/>
                <w:kern w:val="0"/>
                <w:shd w:val="clear" w:color="auto" w:fill="FFFFFF"/>
                <w:lang w:bidi="ar"/>
              </w:rPr>
            </w:pPr>
            <w:r>
              <w:rPr>
                <w:rFonts w:ascii="Times New Roman" w:hAnsi="Times New Roman" w:eastAsia="仿宋_GB2312" w:cs="Times New Roman"/>
                <w:kern w:val="0"/>
                <w:shd w:val="clear" w:color="auto" w:fill="FFFFFF"/>
                <w:lang w:bidi="ar"/>
              </w:rPr>
              <w:t>1</w:t>
            </w:r>
            <w:r>
              <w:rPr>
                <w:rFonts w:hint="eastAsia" w:ascii="Times New Roman" w:hAnsi="Times New Roman" w:eastAsia="仿宋_GB2312" w:cs="Times New Roman"/>
                <w:kern w:val="0"/>
                <w:shd w:val="clear" w:color="auto" w:fill="FFFFFF"/>
                <w:lang w:bidi="ar"/>
              </w:rPr>
              <w:t>2.</w:t>
            </w:r>
            <w:r>
              <w:rPr>
                <w:rFonts w:ascii="Times New Roman" w:hAnsi="Times New Roman" w:eastAsia="仿宋_GB2312" w:cs="Times New Roman"/>
                <w:kern w:val="0"/>
                <w:shd w:val="clear" w:color="auto" w:fill="FFFFFF"/>
                <w:lang w:bidi="ar"/>
              </w:rPr>
              <w:t>加强畜禽养殖场氨气等臭气治理，鼓励生猪、鸡等圈舍封闭管理，支持粪污输送、存储及处理设施封闭，加强废气收集和处理。</w:t>
            </w:r>
          </w:p>
          <w:p w14:paraId="3438B8A5">
            <w:pPr>
              <w:widowControl/>
              <w:ind w:firstLine="0" w:firstLineChars="0"/>
              <w:jc w:val="left"/>
              <w:rPr>
                <w:rFonts w:ascii="Times New Roman" w:hAnsi="Times New Roman" w:eastAsia="仿宋_GB2312" w:cs="Times New Roman"/>
                <w:kern w:val="0"/>
                <w:shd w:val="clear" w:color="auto" w:fill="FFFFFF"/>
                <w:lang w:bidi="ar"/>
              </w:rPr>
            </w:pPr>
            <w:r>
              <w:rPr>
                <w:rFonts w:ascii="Times New Roman" w:hAnsi="Times New Roman" w:eastAsia="仿宋_GB2312" w:cs="Times New Roman"/>
                <w:kern w:val="0"/>
                <w:shd w:val="clear" w:color="auto" w:fill="FFFFFF"/>
                <w:lang w:bidi="ar"/>
              </w:rPr>
              <w:t>1</w:t>
            </w:r>
            <w:r>
              <w:rPr>
                <w:rFonts w:hint="eastAsia" w:ascii="Times New Roman" w:hAnsi="Times New Roman" w:eastAsia="仿宋_GB2312" w:cs="Times New Roman"/>
                <w:kern w:val="0"/>
                <w:shd w:val="clear" w:color="auto" w:fill="FFFFFF"/>
                <w:lang w:bidi="ar"/>
              </w:rPr>
              <w:t>3.</w:t>
            </w:r>
            <w:r>
              <w:rPr>
                <w:rFonts w:ascii="Times New Roman" w:hAnsi="Times New Roman" w:eastAsia="仿宋_GB2312" w:cs="Times New Roman"/>
                <w:kern w:val="0"/>
                <w:shd w:val="clear" w:color="auto" w:fill="FFFFFF"/>
                <w:lang w:bidi="ar"/>
              </w:rPr>
              <w:t>强化工业源烟气脱硫脱硝氨逃逸防控，按要求推进重点企业安装氨逃逸监测设备并联网。</w:t>
            </w:r>
          </w:p>
        </w:tc>
        <w:tc>
          <w:tcPr>
            <w:tcW w:w="2453" w:type="dxa"/>
            <w:vAlign w:val="center"/>
          </w:tcPr>
          <w:p w14:paraId="1A9BFD0C">
            <w:pPr>
              <w:ind w:firstLine="0" w:firstLineChars="0"/>
              <w:rPr>
                <w:rFonts w:ascii="Times New Roman" w:hAnsi="Times New Roman" w:eastAsia="仿宋_GB2312" w:cs="Times New Roman"/>
              </w:rPr>
            </w:pPr>
            <w:r>
              <w:rPr>
                <w:rFonts w:hint="eastAsia" w:ascii="Times New Roman" w:hAnsi="Times New Roman" w:eastAsia="仿宋_GB2312" w:cs="Times New Roman"/>
              </w:rPr>
              <w:t>《晋城市人民政府关于印发晋城市落实空气质量持续改善行动计划实施方案的通知》（晋市政发〔2024〕11 号）</w:t>
            </w:r>
          </w:p>
        </w:tc>
      </w:tr>
      <w:tr w14:paraId="445A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gridSpan w:val="2"/>
            <w:vMerge w:val="continue"/>
            <w:vAlign w:val="center"/>
          </w:tcPr>
          <w:p w14:paraId="14339DA6">
            <w:pPr>
              <w:ind w:firstLine="0" w:firstLineChars="0"/>
              <w:jc w:val="center"/>
              <w:rPr>
                <w:rFonts w:ascii="Times New Roman" w:hAnsi="Times New Roman" w:eastAsia="仿宋_GB2312" w:cs="Times New Roman"/>
              </w:rPr>
            </w:pPr>
          </w:p>
        </w:tc>
        <w:tc>
          <w:tcPr>
            <w:tcW w:w="9882" w:type="dxa"/>
            <w:vAlign w:val="center"/>
          </w:tcPr>
          <w:p w14:paraId="48C91A82">
            <w:pPr>
              <w:widowControl/>
              <w:ind w:firstLine="0" w:firstLineChars="0"/>
              <w:jc w:val="left"/>
              <w:rPr>
                <w:rFonts w:ascii="Times New Roman" w:hAnsi="Times New Roman" w:eastAsia="仿宋_GB2312" w:cs="Times New Roman"/>
                <w:kern w:val="0"/>
                <w:shd w:val="clear" w:color="auto" w:fill="FFFFFF"/>
                <w:lang w:bidi="ar"/>
              </w:rPr>
            </w:pPr>
            <w:r>
              <w:rPr>
                <w:rFonts w:ascii="Times New Roman" w:hAnsi="Times New Roman" w:eastAsia="仿宋_GB2312" w:cs="Times New Roman"/>
                <w:kern w:val="0"/>
                <w:shd w:val="clear" w:color="auto" w:fill="FFFFFF"/>
                <w:lang w:bidi="ar"/>
              </w:rPr>
              <w:t>1</w:t>
            </w:r>
            <w:r>
              <w:rPr>
                <w:rFonts w:hint="eastAsia" w:ascii="Times New Roman" w:hAnsi="Times New Roman" w:eastAsia="仿宋_GB2312" w:cs="Times New Roman"/>
                <w:kern w:val="0"/>
                <w:shd w:val="clear" w:color="auto" w:fill="FFFFFF"/>
                <w:lang w:bidi="ar"/>
              </w:rPr>
              <w:t>4</w:t>
            </w:r>
            <w:r>
              <w:rPr>
                <w:rFonts w:ascii="Times New Roman" w:hAnsi="Times New Roman" w:eastAsia="仿宋_GB2312" w:cs="Times New Roman"/>
                <w:kern w:val="0"/>
                <w:shd w:val="clear" w:color="auto" w:fill="FFFFFF"/>
                <w:lang w:bidi="ar"/>
              </w:rPr>
              <w:t>.加大化工、制药等行业废水集输系统改造力度，使用密闭管道替代敞开式集输。废水系统高浓度VOCs废气要单独收集处理，在确保安全的前提下，集水井（池）、均质罐、调节池、隔油池、气浮池、浓缩池等应采取密闭收集措施，采用燃烧等高效治理技术。酸性水罐尾气应收集处理。</w:t>
            </w:r>
          </w:p>
          <w:p w14:paraId="7FB35056">
            <w:pPr>
              <w:pStyle w:val="152"/>
              <w:ind w:firstLine="0" w:firstLineChars="0"/>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5</w:t>
            </w:r>
            <w:r>
              <w:rPr>
                <w:rFonts w:ascii="Times New Roman" w:hAnsi="Times New Roman" w:eastAsia="仿宋_GB2312" w:cs="Times New Roman"/>
              </w:rPr>
              <w:t>.对本辖区现有企业达不到要求的VOCs收集、治理设施进行更换或升级改造，确保达标排放。加强非正常工况废气收集处理，制定开停车、检维修、生产异常等非正常工况的操作规程和污染控制措施。通过辅助管道和设备等建立蒸罐清洗、吹扫产物密闭排放管网，接入有机废气回收或处理装置。</w:t>
            </w:r>
          </w:p>
          <w:p w14:paraId="18DFC614">
            <w:pPr>
              <w:pStyle w:val="152"/>
              <w:ind w:firstLine="0" w:firstLineChars="0"/>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6</w:t>
            </w:r>
            <w:r>
              <w:rPr>
                <w:rFonts w:ascii="Times New Roman" w:hAnsi="Times New Roman" w:eastAsia="仿宋_GB2312" w:cs="Times New Roman"/>
              </w:rPr>
              <w:t>.相关县区分局要引导化工、煤化工、制药等行业企业合理安排停检修计划，尽量不在臭氧污染高发季节安排全厂开停车、装置整体停工检修和储罐清洗作业等，减少非正常工况VOCs排放。引导相关部门和单位合理安排大中型装修、外立面改造、道路划线、沥青铺设等市政工程施工计划，尽量错开臭氧污染高发季节。</w:t>
            </w:r>
          </w:p>
        </w:tc>
        <w:tc>
          <w:tcPr>
            <w:tcW w:w="2453" w:type="dxa"/>
            <w:vAlign w:val="center"/>
          </w:tcPr>
          <w:p w14:paraId="67471A02">
            <w:pPr>
              <w:pStyle w:val="152"/>
              <w:ind w:firstLine="0" w:firstLineChars="0"/>
              <w:rPr>
                <w:rFonts w:ascii="Times New Roman" w:hAnsi="Times New Roman" w:eastAsia="仿宋_GB2312" w:cs="Times New Roman"/>
              </w:rPr>
            </w:pPr>
            <w:r>
              <w:rPr>
                <w:rFonts w:ascii="Times New Roman" w:hAnsi="Times New Roman" w:eastAsia="仿宋_GB2312" w:cs="Times New Roman"/>
              </w:rPr>
              <w:t>《晋城市生态环境局关于深化挥发性有机物污染治理的通知》（晋市环发〔2021〕15号）</w:t>
            </w:r>
          </w:p>
        </w:tc>
      </w:tr>
      <w:tr w14:paraId="2215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gridSpan w:val="2"/>
            <w:vMerge w:val="continue"/>
            <w:vAlign w:val="center"/>
          </w:tcPr>
          <w:p w14:paraId="0340E2EA">
            <w:pPr>
              <w:ind w:firstLine="0" w:firstLineChars="0"/>
              <w:jc w:val="center"/>
              <w:rPr>
                <w:rFonts w:ascii="Times New Roman" w:hAnsi="Times New Roman" w:eastAsia="仿宋_GB2312" w:cs="Times New Roman"/>
              </w:rPr>
            </w:pPr>
          </w:p>
        </w:tc>
        <w:tc>
          <w:tcPr>
            <w:tcW w:w="9882" w:type="dxa"/>
            <w:vAlign w:val="center"/>
          </w:tcPr>
          <w:p w14:paraId="56A7E0D0">
            <w:pPr>
              <w:ind w:firstLine="0" w:firstLineChars="0"/>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7</w:t>
            </w:r>
            <w:r>
              <w:rPr>
                <w:rFonts w:ascii="Times New Roman" w:hAnsi="Times New Roman" w:eastAsia="仿宋_GB2312" w:cs="Times New Roman"/>
              </w:rPr>
              <w:t>.实行重点排放源排放浓度与去除效率双重控制，VOCs初始排放速率大于等于2千克/小时的，除保障排放浓度稳定达标外，治理设施去除效率不低于80%（采用的原辅材料符合国家有关低VOCs含量产品规定的除外），有行业排放标准的按其相关规定执行。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w:t>
            </w:r>
          </w:p>
        </w:tc>
        <w:tc>
          <w:tcPr>
            <w:tcW w:w="2453" w:type="dxa"/>
            <w:vAlign w:val="center"/>
          </w:tcPr>
          <w:p w14:paraId="59EC314F">
            <w:pPr>
              <w:ind w:firstLine="0" w:firstLineChars="0"/>
              <w:rPr>
                <w:rFonts w:ascii="Times New Roman" w:hAnsi="Times New Roman" w:eastAsia="仿宋_GB2312" w:cs="Times New Roman"/>
              </w:rPr>
            </w:pPr>
            <w:r>
              <w:rPr>
                <w:rFonts w:ascii="Times New Roman" w:hAnsi="Times New Roman" w:eastAsia="仿宋_GB2312" w:cs="Times New Roman"/>
              </w:rPr>
              <w:t>晋城市生态环境局关于印发晋城市重点行业挥发性有机物综合治理实施方案的通知（晋市环发〔2019〕303号）</w:t>
            </w:r>
          </w:p>
        </w:tc>
      </w:tr>
      <w:tr w14:paraId="7F51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59" w:type="dxa"/>
            <w:gridSpan w:val="2"/>
            <w:vMerge w:val="continue"/>
            <w:vAlign w:val="center"/>
          </w:tcPr>
          <w:p w14:paraId="3926464A">
            <w:pPr>
              <w:ind w:firstLine="0" w:firstLineChars="0"/>
              <w:jc w:val="center"/>
              <w:rPr>
                <w:rFonts w:ascii="Times New Roman" w:hAnsi="Times New Roman" w:eastAsia="仿宋_GB2312" w:cs="Times New Roman"/>
              </w:rPr>
            </w:pPr>
          </w:p>
        </w:tc>
        <w:tc>
          <w:tcPr>
            <w:tcW w:w="9882" w:type="dxa"/>
            <w:vAlign w:val="center"/>
          </w:tcPr>
          <w:p w14:paraId="24969CC2">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8</w:t>
            </w:r>
            <w:r>
              <w:rPr>
                <w:rFonts w:ascii="Times New Roman" w:hAnsi="Times New Roman" w:eastAsia="仿宋_GB2312" w:cs="Times New Roman"/>
              </w:rPr>
              <w:t>.禁止使用高排放非道路移动机械区域内在用非道路移动机械，按《非道路柴油移动机械排气烟度限值及测量方法》（GB36886-2018）规定的Ⅲ类排气烟度限值标准执行。</w:t>
            </w:r>
          </w:p>
          <w:p w14:paraId="5FB82195">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19</w:t>
            </w:r>
            <w:r>
              <w:rPr>
                <w:rFonts w:ascii="Times New Roman" w:hAnsi="Times New Roman" w:eastAsia="仿宋_GB2312" w:cs="Times New Roman"/>
              </w:rPr>
              <w:t>.禁止使用高排放非道路移动机械区域以外的在用非道路移动机械，按《非道路柴油移动机械排气烟度限值及测量方法》（GB36886-2018）规定的Ⅰ类、Ⅱ类限值标准执行。</w:t>
            </w:r>
          </w:p>
          <w:p w14:paraId="1CCB8C1F">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20</w:t>
            </w:r>
            <w:r>
              <w:rPr>
                <w:rFonts w:ascii="Times New Roman" w:hAnsi="Times New Roman" w:eastAsia="仿宋_GB2312" w:cs="Times New Roman"/>
              </w:rPr>
              <w:t>.全市在用非道路移动机械未安装污染控制装置或者污染控制装置不符合要求，不能达标排放的，应当加装或者更换符合要求的污染控制装置，同时应加强机械维护，确保稳定达标排放。</w:t>
            </w:r>
          </w:p>
        </w:tc>
        <w:tc>
          <w:tcPr>
            <w:tcW w:w="2453" w:type="dxa"/>
            <w:vAlign w:val="center"/>
          </w:tcPr>
          <w:p w14:paraId="65D3C679">
            <w:pPr>
              <w:ind w:firstLine="0" w:firstLineChars="0"/>
              <w:rPr>
                <w:rFonts w:ascii="Times New Roman" w:hAnsi="Times New Roman" w:eastAsia="仿宋_GB2312" w:cs="Times New Roman"/>
              </w:rPr>
            </w:pPr>
            <w:r>
              <w:rPr>
                <w:rFonts w:ascii="Times New Roman" w:hAnsi="Times New Roman" w:eastAsia="仿宋_GB2312" w:cs="Times New Roman"/>
              </w:rPr>
              <w:t>《晋城市禁止使用高排放非道路移动机械区域及管理有关事项通告》（晋市政通告〔2019〕1号）</w:t>
            </w:r>
          </w:p>
        </w:tc>
      </w:tr>
      <w:tr w14:paraId="539B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559" w:type="dxa"/>
            <w:gridSpan w:val="2"/>
            <w:vMerge w:val="continue"/>
            <w:vAlign w:val="center"/>
          </w:tcPr>
          <w:p w14:paraId="10CFB0A0">
            <w:pPr>
              <w:ind w:firstLine="0" w:firstLineChars="0"/>
              <w:jc w:val="center"/>
              <w:rPr>
                <w:rFonts w:ascii="Times New Roman" w:hAnsi="Times New Roman" w:eastAsia="仿宋_GB2312" w:cs="Times New Roman"/>
              </w:rPr>
            </w:pPr>
          </w:p>
        </w:tc>
        <w:tc>
          <w:tcPr>
            <w:tcW w:w="9882" w:type="dxa"/>
            <w:vAlign w:val="center"/>
          </w:tcPr>
          <w:p w14:paraId="72700154">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21</w:t>
            </w:r>
            <w:r>
              <w:rPr>
                <w:rFonts w:ascii="Times New Roman" w:hAnsi="Times New Roman" w:eastAsia="仿宋_GB2312" w:cs="Times New Roman"/>
              </w:rPr>
              <w:t>.到2030年，规模化养殖场全部完成养殖污染治理设施建设，配套与养殖数量相适应的粪污处理设施，实现粪污妥善处理。</w:t>
            </w:r>
          </w:p>
          <w:p w14:paraId="1E2DC8F7">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22</w:t>
            </w:r>
            <w:r>
              <w:rPr>
                <w:rFonts w:ascii="Times New Roman" w:hAnsi="Times New Roman" w:eastAsia="仿宋_GB2312" w:cs="Times New Roman"/>
              </w:rPr>
              <w:t>.动物隔离场、畜禽交易市场、畜禽定点屠宰场、规模化养殖场等畜禽暂存、养殖、交易场所的选址、布局及应配备的设施设备，应严格按照《动物防疫条件审查办法》，配套建设无害化暂存设施；不建设无害化处理设施的养殖场（户）必须与病死畜禽专业无害化处理厂签订委托处理协议，并配套相应规模的病死畜禽暂存设施。</w:t>
            </w:r>
          </w:p>
          <w:p w14:paraId="6742986F">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23</w:t>
            </w:r>
            <w:r>
              <w:rPr>
                <w:rFonts w:ascii="Times New Roman" w:hAnsi="Times New Roman" w:eastAsia="仿宋_GB2312" w:cs="Times New Roman"/>
              </w:rPr>
              <w:t>.规模化养殖场淘汰水冲粪工艺，全部采用干清粪工艺，养殖场实行雨污分离，雨水收集后就近就地排放，畜禽污水则流入净化沼气池内进行治理。高浓度的畜禽污水需经过厌氧技术处理。规模化养殖场臭气污染治理采取物理除臭、化学除臭等技术，污染排放口及厂界达标排放。</w:t>
            </w:r>
          </w:p>
          <w:p w14:paraId="76FEE628">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4</w:t>
            </w:r>
            <w:r>
              <w:rPr>
                <w:rFonts w:ascii="Times New Roman" w:hAnsi="Times New Roman" w:eastAsia="仿宋_GB2312" w:cs="Times New Roman"/>
              </w:rPr>
              <w:t>.新建规模化养殖场，设置臭气卫生防护距离。</w:t>
            </w:r>
          </w:p>
          <w:p w14:paraId="03703B60">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5</w:t>
            </w:r>
            <w:r>
              <w:rPr>
                <w:rFonts w:ascii="Times New Roman" w:hAnsi="Times New Roman" w:eastAsia="仿宋_GB2312" w:cs="Times New Roman"/>
              </w:rPr>
              <w:t>.严格落实环境影响评价和排污许可制度，严格按照《建设项目环境影响评价分类管理名录》，对“年出栏生猪5000头（其他畜禽种类折合猪的养殖量）及以上的规模化养殖；存栏生猪2500头（其他畜禽种类折合猪的养殖量）及以上无出栏量的规模化畜禽养殖；涉及环境敏感区的规模化畜禽养殖”，报批环境影响报告书，并严格执行。</w:t>
            </w:r>
          </w:p>
        </w:tc>
        <w:tc>
          <w:tcPr>
            <w:tcW w:w="2453" w:type="dxa"/>
            <w:vAlign w:val="center"/>
          </w:tcPr>
          <w:p w14:paraId="7573A53C">
            <w:pPr>
              <w:ind w:firstLine="0" w:firstLineChars="0"/>
              <w:rPr>
                <w:rFonts w:ascii="Times New Roman" w:hAnsi="Times New Roman" w:eastAsia="仿宋_GB2312" w:cs="Times New Roman"/>
              </w:rPr>
            </w:pPr>
            <w:r>
              <w:rPr>
                <w:rFonts w:ascii="Times New Roman" w:hAnsi="Times New Roman" w:eastAsia="仿宋_GB2312" w:cs="Times New Roman"/>
              </w:rPr>
              <w:t>《关于印发&lt;晋城市畜禽养殖污染防治规划&gt;的通知》（晋市环发〔2023〕122号）</w:t>
            </w:r>
          </w:p>
        </w:tc>
      </w:tr>
      <w:tr w14:paraId="6455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gridSpan w:val="2"/>
            <w:vMerge w:val="restart"/>
            <w:vAlign w:val="center"/>
          </w:tcPr>
          <w:p w14:paraId="4ADF5AC6">
            <w:pPr>
              <w:ind w:firstLine="0" w:firstLineChars="0"/>
              <w:jc w:val="center"/>
              <w:rPr>
                <w:rFonts w:ascii="Times New Roman" w:hAnsi="Times New Roman" w:eastAsia="仿宋_GB2312" w:cs="Times New Roman"/>
              </w:rPr>
            </w:pPr>
            <w:r>
              <w:rPr>
                <w:rFonts w:ascii="Times New Roman" w:hAnsi="Times New Roman" w:eastAsia="仿宋_GB2312" w:cs="Times New Roman"/>
              </w:rPr>
              <w:t>环境风险防控</w:t>
            </w:r>
          </w:p>
        </w:tc>
        <w:tc>
          <w:tcPr>
            <w:tcW w:w="9882" w:type="dxa"/>
            <w:vAlign w:val="center"/>
          </w:tcPr>
          <w:p w14:paraId="7B4A3693">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1.市人民政府应当与上游同级人民政府协商建立突发生态环境事件协同处置机制，强化突发事件应急准备、应急处置和事后恢复等方面的协同，实现生态环境风险联防联控。</w:t>
            </w:r>
          </w:p>
          <w:p w14:paraId="2904B732">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2.工业类开发区或者工业集聚区应当建立污水分级分类处理利用的水污染治理体系，建立企业、园区、河流三级水环境风险防控体系，建立污水排放分级监测监管和预警体系。</w:t>
            </w:r>
          </w:p>
        </w:tc>
        <w:tc>
          <w:tcPr>
            <w:tcW w:w="2453" w:type="dxa"/>
            <w:vAlign w:val="center"/>
          </w:tcPr>
          <w:p w14:paraId="56011982">
            <w:pPr>
              <w:ind w:firstLine="0" w:firstLineChars="0"/>
              <w:rPr>
                <w:rFonts w:ascii="Times New Roman" w:hAnsi="Times New Roman" w:eastAsia="仿宋_GB2312" w:cs="Times New Roman"/>
              </w:rPr>
            </w:pPr>
            <w:r>
              <w:rPr>
                <w:rFonts w:ascii="Times New Roman" w:hAnsi="Times New Roman" w:eastAsia="仿宋_GB2312" w:cs="Times New Roman"/>
              </w:rPr>
              <w:t>《晋城市沁河流域生态修复与保护条例》（2021年10月1日实施）</w:t>
            </w:r>
          </w:p>
        </w:tc>
      </w:tr>
      <w:tr w14:paraId="0587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559" w:type="dxa"/>
            <w:gridSpan w:val="2"/>
            <w:vMerge w:val="continue"/>
            <w:vAlign w:val="center"/>
          </w:tcPr>
          <w:p w14:paraId="5409380B">
            <w:pPr>
              <w:ind w:firstLine="0" w:firstLineChars="0"/>
              <w:jc w:val="center"/>
              <w:rPr>
                <w:rFonts w:ascii="Times New Roman" w:hAnsi="Times New Roman" w:eastAsia="仿宋_GB2312" w:cs="Times New Roman"/>
              </w:rPr>
            </w:pPr>
          </w:p>
        </w:tc>
        <w:tc>
          <w:tcPr>
            <w:tcW w:w="9882" w:type="dxa"/>
            <w:vAlign w:val="center"/>
          </w:tcPr>
          <w:p w14:paraId="6F152938">
            <w:pPr>
              <w:widowControl/>
              <w:shd w:val="clear" w:color="auto" w:fill="FFFFFF"/>
              <w:ind w:firstLine="0" w:firstLineChars="0"/>
              <w:jc w:val="left"/>
              <w:rPr>
                <w:rFonts w:ascii="Times New Roman" w:hAnsi="Times New Roman" w:eastAsia="仿宋_GB2312" w:cs="Times New Roman"/>
                <w:kern w:val="0"/>
                <w:shd w:val="clear" w:color="auto" w:fill="FFFFFF"/>
                <w:lang w:bidi="ar"/>
              </w:rPr>
            </w:pPr>
            <w:r>
              <w:rPr>
                <w:rFonts w:ascii="Times New Roman" w:hAnsi="Times New Roman" w:eastAsia="仿宋_GB2312" w:cs="Times New Roman"/>
                <w:kern w:val="0"/>
                <w:shd w:val="clear" w:color="auto" w:fill="FFFFFF"/>
                <w:lang w:bidi="ar"/>
              </w:rPr>
              <w:t>3.根据《关于进一步做好建设用地土壤环境监管的通知》（晋市环发</w:t>
            </w:r>
            <w:r>
              <w:rPr>
                <w:rFonts w:ascii="Times New Roman" w:hAnsi="Times New Roman" w:eastAsia="仿宋_GB2312" w:cs="Times New Roman"/>
                <w:kern w:val="0"/>
              </w:rPr>
              <w:t>〔2022〕</w:t>
            </w:r>
            <w:r>
              <w:rPr>
                <w:rFonts w:ascii="Times New Roman" w:hAnsi="Times New Roman" w:eastAsia="仿宋_GB2312" w:cs="Times New Roman"/>
                <w:kern w:val="0"/>
                <w:shd w:val="clear" w:color="auto" w:fill="FFFFFF"/>
                <w:lang w:bidi="ar"/>
              </w:rPr>
              <w:t>138号）要求，以用途变更为“一住两公”（住宅、公共管理与公共服务）用地的地块为重点，依法开展土壤污染风险管控和修复。</w:t>
            </w:r>
          </w:p>
          <w:p w14:paraId="7951D015">
            <w:pPr>
              <w:tabs>
                <w:tab w:val="left" w:pos="2865"/>
                <w:tab w:val="center" w:pos="3719"/>
              </w:tabs>
              <w:autoSpaceDE w:val="0"/>
              <w:autoSpaceDN w:val="0"/>
              <w:adjustRightInd w:val="0"/>
              <w:ind w:firstLine="0" w:firstLineChars="0"/>
              <w:jc w:val="left"/>
              <w:rPr>
                <w:rFonts w:ascii="Times New Roman" w:hAnsi="Times New Roman" w:eastAsia="仿宋_GB2312" w:cs="Times New Roman"/>
              </w:rPr>
            </w:pPr>
            <w:r>
              <w:rPr>
                <w:rFonts w:ascii="Times New Roman" w:hAnsi="Times New Roman" w:eastAsia="仿宋_GB2312" w:cs="Times New Roman"/>
                <w:kern w:val="0"/>
                <w:shd w:val="clear" w:color="auto" w:fill="FFFFFF"/>
                <w:lang w:bidi="ar"/>
              </w:rPr>
              <w:t>4.用途拟变更为“一住两公”用地的所有地块，要严格落实土壤污染状况调查评估及治理修复制度。依法应当开展土壤污染状况调查或风险评估而未开展或尚未完成的地块，以及未达到土壤污染风险评估报告确定的风险管控、修复目标的地块，不得开工建设与风险管控、修复无关的项目。</w:t>
            </w:r>
          </w:p>
        </w:tc>
        <w:tc>
          <w:tcPr>
            <w:tcW w:w="2453" w:type="dxa"/>
            <w:vAlign w:val="center"/>
          </w:tcPr>
          <w:p w14:paraId="6479FF9F">
            <w:pPr>
              <w:ind w:firstLine="0" w:firstLineChars="0"/>
              <w:rPr>
                <w:rFonts w:ascii="Times New Roman" w:hAnsi="Times New Roman" w:eastAsia="仿宋_GB2312" w:cs="Times New Roman"/>
              </w:rPr>
            </w:pPr>
            <w:r>
              <w:rPr>
                <w:rFonts w:ascii="Times New Roman" w:hAnsi="Times New Roman" w:eastAsia="仿宋_GB2312" w:cs="Times New Roman"/>
              </w:rPr>
              <w:t>《晋城市人民政府办公室关于印发晋城市空气、水环境质量再提升和土壤、地下水污染防治2023年行动计划的通知》（晋市政办〔2023〕14号）</w:t>
            </w:r>
          </w:p>
        </w:tc>
      </w:tr>
      <w:tr w14:paraId="39CA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76" w:type="dxa"/>
            <w:vMerge w:val="restart"/>
            <w:vAlign w:val="center"/>
          </w:tcPr>
          <w:p w14:paraId="3519D983">
            <w:pPr>
              <w:ind w:firstLine="0" w:firstLineChars="0"/>
              <w:jc w:val="center"/>
              <w:rPr>
                <w:rFonts w:ascii="Times New Roman" w:hAnsi="Times New Roman" w:eastAsia="仿宋_GB2312" w:cs="Times New Roman"/>
              </w:rPr>
            </w:pPr>
            <w:r>
              <w:rPr>
                <w:rFonts w:ascii="Times New Roman" w:hAnsi="Times New Roman" w:eastAsia="仿宋_GB2312" w:cs="Times New Roman"/>
              </w:rPr>
              <w:t>资源利用效率</w:t>
            </w:r>
          </w:p>
        </w:tc>
        <w:tc>
          <w:tcPr>
            <w:tcW w:w="1483" w:type="dxa"/>
            <w:vAlign w:val="center"/>
          </w:tcPr>
          <w:p w14:paraId="1754074C">
            <w:pPr>
              <w:ind w:firstLine="0" w:firstLineChars="0"/>
              <w:jc w:val="center"/>
              <w:rPr>
                <w:rFonts w:ascii="Times New Roman" w:hAnsi="Times New Roman" w:eastAsia="仿宋_GB2312" w:cs="Times New Roman"/>
              </w:rPr>
            </w:pPr>
            <w:r>
              <w:rPr>
                <w:rFonts w:ascii="Times New Roman" w:hAnsi="Times New Roman" w:eastAsia="仿宋_GB2312" w:cs="Times New Roman"/>
              </w:rPr>
              <w:t>水资源利用</w:t>
            </w:r>
          </w:p>
        </w:tc>
        <w:tc>
          <w:tcPr>
            <w:tcW w:w="9882" w:type="dxa"/>
            <w:vAlign w:val="center"/>
          </w:tcPr>
          <w:p w14:paraId="1C365F6E">
            <w:pPr>
              <w:tabs>
                <w:tab w:val="left" w:pos="2865"/>
                <w:tab w:val="center" w:pos="3719"/>
              </w:tabs>
              <w:ind w:firstLine="0" w:firstLineChars="0"/>
              <w:rPr>
                <w:rFonts w:ascii="Times New Roman" w:hAnsi="Times New Roman" w:eastAsia="仿宋_GB2312" w:cs="Times New Roman"/>
              </w:rPr>
            </w:pPr>
            <w:r>
              <w:rPr>
                <w:rFonts w:ascii="Times New Roman" w:hAnsi="Times New Roman" w:eastAsia="仿宋_GB2312" w:cs="Times New Roman"/>
              </w:rPr>
              <w:t>1.晋城市全市2025年用水总量4.72亿立方米，</w:t>
            </w:r>
            <w:r>
              <w:rPr>
                <w:rFonts w:ascii="Times New Roman" w:hAnsi="Times New Roman" w:eastAsia="仿宋_GB2312" w:cs="Times New Roman"/>
                <w:kern w:val="0"/>
              </w:rPr>
              <w:t>全市万元地区生产总值用水量2025年比2020年下降10%，全市万元工业增加值用水量2025年比2020年下降11%。</w:t>
            </w:r>
          </w:p>
        </w:tc>
        <w:tc>
          <w:tcPr>
            <w:tcW w:w="2453" w:type="dxa"/>
            <w:vAlign w:val="center"/>
          </w:tcPr>
          <w:p w14:paraId="259D76BB">
            <w:pPr>
              <w:ind w:firstLine="0" w:firstLineChars="0"/>
              <w:rPr>
                <w:rFonts w:ascii="Times New Roman" w:hAnsi="Times New Roman" w:eastAsia="仿宋_GB2312" w:cs="Times New Roman"/>
              </w:rPr>
            </w:pPr>
            <w:r>
              <w:rPr>
                <w:rFonts w:ascii="Times New Roman" w:hAnsi="Times New Roman" w:eastAsia="仿宋_GB2312" w:cs="Times New Roman"/>
              </w:rPr>
              <w:t>《关于印发晋城市“十四五”各县（市、区）用水总量控制指标通知》（晋市水〔2022〕178号）、《关于印发“</w:t>
            </w:r>
            <w:bookmarkStart w:id="1" w:name="_GoBack"/>
            <w:r>
              <w:rPr>
                <w:rFonts w:ascii="Times New Roman" w:hAnsi="Times New Roman" w:eastAsia="仿宋_GB2312" w:cs="Times New Roman"/>
              </w:rPr>
              <w:t>十四五</w:t>
            </w:r>
            <w:bookmarkEnd w:id="1"/>
            <w:r>
              <w:rPr>
                <w:rFonts w:ascii="Times New Roman" w:hAnsi="Times New Roman" w:eastAsia="仿宋_GB2312" w:cs="Times New Roman"/>
              </w:rPr>
              <w:t>”各县（市、区）用水效率控制指标的通知》（晋市水〔2022〕112号）</w:t>
            </w:r>
          </w:p>
        </w:tc>
      </w:tr>
      <w:tr w14:paraId="4582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76" w:type="dxa"/>
            <w:vMerge w:val="continue"/>
            <w:vAlign w:val="center"/>
          </w:tcPr>
          <w:p w14:paraId="31A4929D">
            <w:pPr>
              <w:ind w:firstLine="0" w:firstLineChars="0"/>
              <w:jc w:val="center"/>
              <w:rPr>
                <w:rFonts w:ascii="Times New Roman" w:hAnsi="Times New Roman" w:eastAsia="仿宋_GB2312" w:cs="Times New Roman"/>
              </w:rPr>
            </w:pPr>
          </w:p>
        </w:tc>
        <w:tc>
          <w:tcPr>
            <w:tcW w:w="1483" w:type="dxa"/>
            <w:vMerge w:val="restart"/>
            <w:vAlign w:val="center"/>
          </w:tcPr>
          <w:p w14:paraId="6F51BDD2">
            <w:pPr>
              <w:ind w:firstLine="0" w:firstLineChars="0"/>
              <w:jc w:val="center"/>
              <w:rPr>
                <w:rFonts w:ascii="Times New Roman" w:hAnsi="Times New Roman" w:eastAsia="仿宋_GB2312" w:cs="Times New Roman"/>
              </w:rPr>
            </w:pPr>
            <w:r>
              <w:rPr>
                <w:rFonts w:ascii="Times New Roman" w:hAnsi="Times New Roman" w:eastAsia="仿宋_GB2312" w:cs="Times New Roman"/>
              </w:rPr>
              <w:t>能源利用</w:t>
            </w:r>
          </w:p>
        </w:tc>
        <w:tc>
          <w:tcPr>
            <w:tcW w:w="9882" w:type="dxa"/>
            <w:vAlign w:val="center"/>
          </w:tcPr>
          <w:p w14:paraId="25FBC628">
            <w:pPr>
              <w:tabs>
                <w:tab w:val="left" w:pos="2865"/>
                <w:tab w:val="center" w:pos="3719"/>
              </w:tabs>
              <w:ind w:firstLine="0" w:firstLineChars="0"/>
              <w:rPr>
                <w:rFonts w:ascii="Times New Roman" w:hAnsi="Times New Roman" w:eastAsia="仿宋_GB2312" w:cs="Times New Roman"/>
                <w:kern w:val="0"/>
              </w:rPr>
            </w:pPr>
            <w:r>
              <w:rPr>
                <w:rFonts w:ascii="Times New Roman" w:hAnsi="Times New Roman" w:eastAsia="仿宋_GB2312" w:cs="Times New Roman"/>
                <w:kern w:val="0"/>
              </w:rPr>
              <w:t>2.</w:t>
            </w:r>
            <w:r>
              <w:rPr>
                <w:rFonts w:ascii="Times New Roman" w:hAnsi="Times New Roman" w:eastAsia="仿宋_GB2312" w:cs="Times New Roman"/>
              </w:rPr>
              <w:t>实施能源消费总量和强度“双控”，把能源消费总量、强度目标作为经济社会发展重要约束性指标，推动形成经济转型升级的倒逼机制；把能源消费总量、强度目标分解到各县（市、区）和重点用能单位，严格考核、监督和问责；严格执行固定资产投资项目节能评估和审查制度，加大能效标识和节能产品认证实施力度，实施终端用能产品强制性能标识制度；新上高耗能项目实行能耗增量指标等量置换或减量置换。</w:t>
            </w:r>
          </w:p>
        </w:tc>
        <w:tc>
          <w:tcPr>
            <w:tcW w:w="2453" w:type="dxa"/>
            <w:vAlign w:val="center"/>
          </w:tcPr>
          <w:p w14:paraId="4CD78A88">
            <w:pPr>
              <w:ind w:firstLine="0" w:firstLineChars="0"/>
              <w:rPr>
                <w:rFonts w:ascii="Times New Roman" w:hAnsi="Times New Roman" w:eastAsia="仿宋_GB2312" w:cs="Times New Roman"/>
              </w:rPr>
            </w:pPr>
            <w:r>
              <w:rPr>
                <w:rFonts w:ascii="Times New Roman" w:hAnsi="Times New Roman" w:eastAsia="仿宋_GB2312" w:cs="Times New Roman"/>
              </w:rPr>
              <w:t>《晋城市人民政府关于印发晋城市“十四五”两山七河一流域生态保护和生态文明建设、生态经济发展规划的通知》（晋市政发〔2022〕30号）</w:t>
            </w:r>
          </w:p>
        </w:tc>
      </w:tr>
      <w:tr w14:paraId="131D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76" w:type="dxa"/>
            <w:vMerge w:val="continue"/>
            <w:vAlign w:val="center"/>
          </w:tcPr>
          <w:p w14:paraId="4866EDF2">
            <w:pPr>
              <w:ind w:firstLine="0" w:firstLineChars="0"/>
              <w:jc w:val="center"/>
              <w:rPr>
                <w:rFonts w:ascii="Times New Roman" w:hAnsi="Times New Roman" w:eastAsia="仿宋_GB2312" w:cs="Times New Roman"/>
              </w:rPr>
            </w:pPr>
          </w:p>
        </w:tc>
        <w:tc>
          <w:tcPr>
            <w:tcW w:w="1483" w:type="dxa"/>
            <w:vMerge w:val="continue"/>
            <w:vAlign w:val="center"/>
          </w:tcPr>
          <w:p w14:paraId="365012BA">
            <w:pPr>
              <w:ind w:firstLine="0" w:firstLineChars="0"/>
              <w:jc w:val="center"/>
              <w:rPr>
                <w:rFonts w:ascii="Times New Roman" w:hAnsi="Times New Roman" w:eastAsia="仿宋_GB2312" w:cs="Times New Roman"/>
              </w:rPr>
            </w:pPr>
          </w:p>
        </w:tc>
        <w:tc>
          <w:tcPr>
            <w:tcW w:w="9882" w:type="dxa"/>
            <w:vAlign w:val="center"/>
          </w:tcPr>
          <w:p w14:paraId="4DEEBDC4">
            <w:pPr>
              <w:tabs>
                <w:tab w:val="left" w:pos="2865"/>
                <w:tab w:val="center" w:pos="3719"/>
              </w:tabs>
              <w:ind w:firstLine="0" w:firstLineChars="0"/>
              <w:rPr>
                <w:rFonts w:ascii="Times New Roman" w:hAnsi="Times New Roman" w:eastAsia="仿宋_GB2312" w:cs="Times New Roman"/>
                <w:kern w:val="0"/>
              </w:rPr>
            </w:pPr>
            <w:r>
              <w:rPr>
                <w:rFonts w:hint="eastAsia" w:ascii="Times New Roman" w:hAnsi="Times New Roman" w:eastAsia="仿宋_GB2312" w:cs="Times New Roman"/>
                <w:kern w:val="0"/>
              </w:rPr>
              <w:t>3.高瓦斯矿、煤与瓦斯突出矿井应当配套建设瓦斯利用设施，按照国家有关规定对抽采瓦斯进行综合利用。</w:t>
            </w:r>
          </w:p>
        </w:tc>
        <w:tc>
          <w:tcPr>
            <w:tcW w:w="2453" w:type="dxa"/>
            <w:vAlign w:val="center"/>
          </w:tcPr>
          <w:p w14:paraId="6BEEFB69">
            <w:pPr>
              <w:ind w:firstLine="0" w:firstLineChars="0"/>
              <w:rPr>
                <w:rFonts w:ascii="Times New Roman" w:hAnsi="Times New Roman" w:eastAsia="仿宋_GB2312" w:cs="Times New Roman"/>
              </w:rPr>
            </w:pPr>
            <w:r>
              <w:rPr>
                <w:rFonts w:hint="eastAsia" w:ascii="Times New Roman" w:hAnsi="Times New Roman" w:eastAsia="仿宋_GB2312" w:cs="Times New Roman"/>
              </w:rPr>
              <w:t>《晋城市人民政府关于印发晋城市碳达峰实施方案的通知》（晋市政发〔2023〕13号）</w:t>
            </w:r>
          </w:p>
        </w:tc>
      </w:tr>
      <w:tr w14:paraId="7B5F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76" w:type="dxa"/>
            <w:vMerge w:val="continue"/>
            <w:vAlign w:val="center"/>
          </w:tcPr>
          <w:p w14:paraId="335F22D5">
            <w:pPr>
              <w:ind w:firstLine="0" w:firstLineChars="0"/>
              <w:jc w:val="center"/>
              <w:rPr>
                <w:rFonts w:ascii="Times New Roman" w:hAnsi="Times New Roman" w:eastAsia="仿宋_GB2312" w:cs="Times New Roman"/>
              </w:rPr>
            </w:pPr>
          </w:p>
        </w:tc>
        <w:tc>
          <w:tcPr>
            <w:tcW w:w="1483" w:type="dxa"/>
            <w:vAlign w:val="center"/>
          </w:tcPr>
          <w:p w14:paraId="05B20F3F">
            <w:pPr>
              <w:ind w:firstLine="0" w:firstLineChars="0"/>
              <w:jc w:val="center"/>
              <w:rPr>
                <w:rFonts w:ascii="Times New Roman" w:hAnsi="Times New Roman" w:eastAsia="仿宋_GB2312" w:cs="Times New Roman"/>
              </w:rPr>
            </w:pPr>
            <w:r>
              <w:rPr>
                <w:rFonts w:ascii="Times New Roman" w:hAnsi="Times New Roman" w:eastAsia="仿宋_GB2312" w:cs="Times New Roman"/>
              </w:rPr>
              <w:t>土地资源</w:t>
            </w:r>
          </w:p>
        </w:tc>
        <w:tc>
          <w:tcPr>
            <w:tcW w:w="9882" w:type="dxa"/>
            <w:vAlign w:val="center"/>
          </w:tcPr>
          <w:p w14:paraId="234B51A1">
            <w:pPr>
              <w:tabs>
                <w:tab w:val="left" w:pos="2865"/>
                <w:tab w:val="center" w:pos="3719"/>
              </w:tabs>
              <w:ind w:firstLine="0" w:firstLineChars="0"/>
              <w:rPr>
                <w:rFonts w:ascii="Times New Roman" w:hAnsi="Times New Roman" w:eastAsia="仿宋_GB2312" w:cs="Times New Roman"/>
                <w:kern w:val="0"/>
              </w:rPr>
            </w:pPr>
            <w:r>
              <w:rPr>
                <w:rFonts w:hint="eastAsia" w:ascii="Times New Roman" w:hAnsi="Times New Roman" w:eastAsia="仿宋_GB2312" w:cs="Times New Roman"/>
                <w:kern w:val="0"/>
              </w:rPr>
              <w:t>4</w:t>
            </w:r>
            <w:r>
              <w:rPr>
                <w:rFonts w:ascii="Times New Roman" w:hAnsi="Times New Roman" w:eastAsia="仿宋_GB2312" w:cs="Times New Roman"/>
                <w:kern w:val="0"/>
              </w:rPr>
              <w:t>.耕地保有量和永久基本农田保护面积不低于国家下达目标；2025年与2035年保持一致。</w:t>
            </w:r>
            <w:r>
              <w:rPr>
                <w:rFonts w:ascii="Times New Roman" w:hAnsi="Times New Roman" w:eastAsia="仿宋_GB2312" w:cs="Times New Roman"/>
              </w:rPr>
              <w:t>耕地保有量（不低于）</w:t>
            </w:r>
            <w:r>
              <w:rPr>
                <w:rFonts w:ascii="Times New Roman" w:hAnsi="Times New Roman" w:eastAsia="仿宋_GB2312" w:cs="Times New Roman"/>
                <w:kern w:val="0"/>
              </w:rPr>
              <w:t>194930公顷，</w:t>
            </w:r>
            <w:r>
              <w:rPr>
                <w:rFonts w:ascii="Times New Roman" w:hAnsi="Times New Roman" w:eastAsia="仿宋_GB2312" w:cs="Times New Roman"/>
              </w:rPr>
              <w:t>永久基本农田保护面积（不低于）</w:t>
            </w:r>
            <w:r>
              <w:rPr>
                <w:rFonts w:ascii="Times New Roman" w:hAnsi="Times New Roman" w:eastAsia="仿宋_GB2312" w:cs="Times New Roman"/>
                <w:kern w:val="0"/>
              </w:rPr>
              <w:t>174508公</w:t>
            </w:r>
            <w:r>
              <w:rPr>
                <w:rFonts w:ascii="Times New Roman" w:hAnsi="Times New Roman" w:eastAsia="仿宋_GB2312" w:cs="Times New Roman"/>
              </w:rPr>
              <w:t>顷。</w:t>
            </w:r>
          </w:p>
        </w:tc>
        <w:tc>
          <w:tcPr>
            <w:tcW w:w="2453" w:type="dxa"/>
            <w:vAlign w:val="center"/>
          </w:tcPr>
          <w:p w14:paraId="24127920">
            <w:pPr>
              <w:ind w:firstLine="0" w:firstLineChars="0"/>
              <w:rPr>
                <w:rFonts w:ascii="Times New Roman" w:hAnsi="Times New Roman" w:eastAsia="仿宋_GB2312" w:cs="Times New Roman"/>
              </w:rPr>
            </w:pPr>
            <w:r>
              <w:rPr>
                <w:rFonts w:ascii="Times New Roman" w:hAnsi="Times New Roman" w:eastAsia="仿宋_GB2312" w:cs="Times New Roman"/>
              </w:rPr>
              <w:t>《晋城市国土空间总体规划（2021-2035年）》</w:t>
            </w:r>
          </w:p>
        </w:tc>
      </w:tr>
    </w:tbl>
    <w:p w14:paraId="6C9284B2">
      <w:pPr>
        <w:ind w:firstLine="0" w:firstLineChars="0"/>
        <w:rPr>
          <w:sz w:val="28"/>
          <w:szCs w:val="28"/>
        </w:rPr>
      </w:pPr>
    </w:p>
    <w:sectPr>
      <w:pgSz w:w="16838" w:h="11906" w:orient="landscape"/>
      <w:pgMar w:top="1800" w:right="1440" w:bottom="1800" w:left="144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小标宋">
    <w:altName w:val="微软雅黑"/>
    <w:panose1 w:val="00000000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国标楷体">
    <w:altName w:val="宋体"/>
    <w:panose1 w:val="02000500000000000000"/>
    <w:charset w:val="86"/>
    <w:family w:val="auto"/>
    <w:pitch w:val="default"/>
    <w:sig w:usb0="00000000" w:usb1="00000000" w:usb2="00000000" w:usb3="00000000" w:csb0="00060007"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4C1FB">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964FD">
    <w:pPr>
      <w:ind w:left="48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OThkOWRiOGNmYmVlNDBjMDE5ZmY0NDg5ZmI5NDYifQ=="/>
  </w:docVars>
  <w:rsids>
    <w:rsidRoot w:val="00BC5F87"/>
    <w:rsid w:val="00061F30"/>
    <w:rsid w:val="000E3C66"/>
    <w:rsid w:val="00144603"/>
    <w:rsid w:val="00157765"/>
    <w:rsid w:val="00176354"/>
    <w:rsid w:val="001C2DF0"/>
    <w:rsid w:val="001C3047"/>
    <w:rsid w:val="00243F3C"/>
    <w:rsid w:val="00244810"/>
    <w:rsid w:val="00250F69"/>
    <w:rsid w:val="0026539E"/>
    <w:rsid w:val="002A29B5"/>
    <w:rsid w:val="002E0F70"/>
    <w:rsid w:val="003135AE"/>
    <w:rsid w:val="00317BF6"/>
    <w:rsid w:val="00337E26"/>
    <w:rsid w:val="00344801"/>
    <w:rsid w:val="00344C99"/>
    <w:rsid w:val="00380416"/>
    <w:rsid w:val="003C04C0"/>
    <w:rsid w:val="00415C04"/>
    <w:rsid w:val="004B764E"/>
    <w:rsid w:val="004F483D"/>
    <w:rsid w:val="0052538A"/>
    <w:rsid w:val="00532EDA"/>
    <w:rsid w:val="00535D69"/>
    <w:rsid w:val="0057566B"/>
    <w:rsid w:val="00576653"/>
    <w:rsid w:val="005B254B"/>
    <w:rsid w:val="00625496"/>
    <w:rsid w:val="00645DD3"/>
    <w:rsid w:val="006575E5"/>
    <w:rsid w:val="00661BA7"/>
    <w:rsid w:val="006E6035"/>
    <w:rsid w:val="00706110"/>
    <w:rsid w:val="00737FA4"/>
    <w:rsid w:val="0075738A"/>
    <w:rsid w:val="007B2893"/>
    <w:rsid w:val="007B6888"/>
    <w:rsid w:val="00957065"/>
    <w:rsid w:val="00A01E5D"/>
    <w:rsid w:val="00AA46A6"/>
    <w:rsid w:val="00AA56EC"/>
    <w:rsid w:val="00BC5F87"/>
    <w:rsid w:val="00BF66FC"/>
    <w:rsid w:val="00CA5C5F"/>
    <w:rsid w:val="00D35358"/>
    <w:rsid w:val="00DC63B7"/>
    <w:rsid w:val="00F32F17"/>
    <w:rsid w:val="00FE3CA3"/>
    <w:rsid w:val="1AB46C51"/>
    <w:rsid w:val="32712BD2"/>
    <w:rsid w:val="57B21B72"/>
    <w:rsid w:val="61A3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99"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Calibri"/>
      <w:kern w:val="2"/>
      <w:sz w:val="24"/>
      <w:szCs w:val="21"/>
      <w:lang w:val="en-US" w:eastAsia="zh-CN" w:bidi="ar-SA"/>
    </w:rPr>
  </w:style>
  <w:style w:type="paragraph" w:styleId="2">
    <w:name w:val="heading 1"/>
    <w:basedOn w:val="1"/>
    <w:next w:val="1"/>
    <w:link w:val="93"/>
    <w:qFormat/>
    <w:uiPriority w:val="9"/>
    <w:pPr>
      <w:keepNext/>
      <w:keepLines/>
      <w:spacing w:before="240" w:after="240"/>
      <w:outlineLvl w:val="0"/>
    </w:pPr>
    <w:rPr>
      <w:rFonts w:eastAsia="黑体" w:cs="Times New Roman"/>
      <w:b/>
      <w:bCs/>
      <w:kern w:val="44"/>
      <w:sz w:val="32"/>
      <w:szCs w:val="44"/>
    </w:rPr>
  </w:style>
  <w:style w:type="paragraph" w:styleId="3">
    <w:name w:val="heading 2"/>
    <w:basedOn w:val="1"/>
    <w:next w:val="1"/>
    <w:link w:val="134"/>
    <w:qFormat/>
    <w:uiPriority w:val="9"/>
    <w:pPr>
      <w:keepNext/>
      <w:keepLines/>
      <w:spacing w:before="120" w:after="120"/>
      <w:outlineLvl w:val="1"/>
    </w:pPr>
    <w:rPr>
      <w:rFonts w:eastAsia="黑体" w:cs="Times New Roman"/>
      <w:b/>
      <w:bCs/>
      <w:sz w:val="30"/>
      <w:szCs w:val="32"/>
    </w:rPr>
  </w:style>
  <w:style w:type="paragraph" w:styleId="4">
    <w:name w:val="heading 3"/>
    <w:basedOn w:val="1"/>
    <w:next w:val="1"/>
    <w:link w:val="135"/>
    <w:qFormat/>
    <w:uiPriority w:val="0"/>
    <w:pPr>
      <w:keepNext/>
      <w:keepLines/>
      <w:ind w:firstLine="0" w:firstLineChars="0"/>
      <w:outlineLvl w:val="2"/>
    </w:pPr>
    <w:rPr>
      <w:rFonts w:eastAsia="黑体" w:cs="Times New Roman"/>
      <w:b/>
      <w:bCs/>
      <w:sz w:val="28"/>
      <w:szCs w:val="32"/>
    </w:rPr>
  </w:style>
  <w:style w:type="paragraph" w:styleId="5">
    <w:name w:val="heading 4"/>
    <w:basedOn w:val="1"/>
    <w:next w:val="1"/>
    <w:link w:val="136"/>
    <w:qFormat/>
    <w:uiPriority w:val="9"/>
    <w:pPr>
      <w:keepNext/>
      <w:keepLines/>
      <w:ind w:firstLine="0" w:firstLineChars="0"/>
      <w:jc w:val="left"/>
      <w:outlineLvl w:val="3"/>
    </w:pPr>
    <w:rPr>
      <w:rFonts w:eastAsia="黑体" w:cs="Times New Roman"/>
      <w:b/>
      <w:bCs/>
      <w:szCs w:val="28"/>
    </w:rPr>
  </w:style>
  <w:style w:type="paragraph" w:styleId="6">
    <w:name w:val="heading 5"/>
    <w:basedOn w:val="1"/>
    <w:next w:val="1"/>
    <w:link w:val="137"/>
    <w:qFormat/>
    <w:uiPriority w:val="9"/>
    <w:pPr>
      <w:jc w:val="left"/>
      <w:outlineLvl w:val="4"/>
    </w:pPr>
    <w:rPr>
      <w:rFonts w:ascii="宋体" w:hAnsi="宋体" w:cs="Times New Roman"/>
      <w:b/>
      <w:kern w:val="0"/>
      <w:sz w:val="20"/>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qFormat/>
    <w:uiPriority w:val="99"/>
    <w:pPr>
      <w:adjustRightInd w:val="0"/>
      <w:spacing w:line="360" w:lineRule="atLeast"/>
      <w:ind w:left="420" w:leftChars="200" w:firstLine="0" w:firstLineChars="0"/>
      <w:jc w:val="left"/>
      <w:textAlignment w:val="baseline"/>
    </w:pPr>
    <w:rPr>
      <w:rFonts w:cs="Times New Roman"/>
      <w:kern w:val="0"/>
      <w:szCs w:val="20"/>
    </w:rPr>
  </w:style>
  <w:style w:type="paragraph" w:styleId="8">
    <w:name w:val="Normal Indent"/>
    <w:basedOn w:val="1"/>
    <w:qFormat/>
    <w:uiPriority w:val="0"/>
    <w:pPr>
      <w:spacing w:line="460" w:lineRule="exact"/>
      <w:jc w:val="left"/>
    </w:pPr>
  </w:style>
  <w:style w:type="paragraph" w:styleId="9">
    <w:name w:val="caption"/>
    <w:basedOn w:val="1"/>
    <w:next w:val="1"/>
    <w:qFormat/>
    <w:uiPriority w:val="99"/>
    <w:rPr>
      <w:rFonts w:ascii="Cambria" w:hAnsi="Cambria" w:eastAsia="黑体"/>
      <w:sz w:val="20"/>
      <w:szCs w:val="20"/>
    </w:rPr>
  </w:style>
  <w:style w:type="paragraph" w:styleId="10">
    <w:name w:val="Document Map"/>
    <w:basedOn w:val="1"/>
    <w:link w:val="147"/>
    <w:unhideWhenUsed/>
    <w:qFormat/>
    <w:uiPriority w:val="99"/>
    <w:rPr>
      <w:rFonts w:ascii="宋体" w:eastAsia="宋体"/>
      <w:sz w:val="18"/>
      <w:szCs w:val="18"/>
    </w:rPr>
  </w:style>
  <w:style w:type="paragraph" w:styleId="11">
    <w:name w:val="annotation text"/>
    <w:basedOn w:val="1"/>
    <w:link w:val="138"/>
    <w:qFormat/>
    <w:uiPriority w:val="99"/>
    <w:pPr>
      <w:jc w:val="left"/>
    </w:pPr>
    <w:rPr>
      <w:rFonts w:eastAsia="宋体" w:cs="Times New Roman"/>
      <w:kern w:val="0"/>
      <w:sz w:val="20"/>
      <w:szCs w:val="24"/>
    </w:rPr>
  </w:style>
  <w:style w:type="paragraph" w:styleId="12">
    <w:name w:val="Body Text"/>
    <w:basedOn w:val="1"/>
    <w:link w:val="141"/>
    <w:qFormat/>
    <w:uiPriority w:val="1"/>
    <w:pPr>
      <w:spacing w:before="54"/>
      <w:ind w:left="140"/>
      <w:jc w:val="left"/>
    </w:pPr>
    <w:rPr>
      <w:rFonts w:ascii="仿宋" w:hAnsi="仿宋" w:cs="Times New Roman"/>
      <w:kern w:val="0"/>
      <w:szCs w:val="24"/>
      <w:lang w:eastAsia="en-US"/>
    </w:rPr>
  </w:style>
  <w:style w:type="paragraph" w:styleId="13">
    <w:name w:val="Body Text Indent"/>
    <w:basedOn w:val="1"/>
    <w:link w:val="142"/>
    <w:qFormat/>
    <w:uiPriority w:val="0"/>
    <w:pPr>
      <w:spacing w:after="120"/>
      <w:ind w:left="420" w:leftChars="200"/>
    </w:pPr>
    <w:rPr>
      <w:rFonts w:ascii="Calibri" w:hAnsi="Calibri" w:eastAsia="宋体" w:cs="Times New Roman"/>
    </w:rPr>
  </w:style>
  <w:style w:type="paragraph" w:styleId="14">
    <w:name w:val="toc 3"/>
    <w:basedOn w:val="1"/>
    <w:next w:val="1"/>
    <w:unhideWhenUsed/>
    <w:qFormat/>
    <w:uiPriority w:val="39"/>
    <w:pPr>
      <w:widowControl/>
      <w:spacing w:after="100" w:line="276" w:lineRule="auto"/>
      <w:ind w:left="440"/>
      <w:jc w:val="left"/>
    </w:pPr>
    <w:rPr>
      <w:rFonts w:ascii="Calibri" w:hAnsi="Calibri" w:cs="Times New Roman"/>
      <w:kern w:val="0"/>
      <w:sz w:val="22"/>
      <w:szCs w:val="22"/>
    </w:rPr>
  </w:style>
  <w:style w:type="paragraph" w:styleId="15">
    <w:name w:val="Plain Text"/>
    <w:basedOn w:val="1"/>
    <w:link w:val="86"/>
    <w:qFormat/>
    <w:uiPriority w:val="0"/>
    <w:rPr>
      <w:rFonts w:ascii="宋体" w:hAnsi="Courier New" w:cs="Courier New"/>
    </w:rPr>
  </w:style>
  <w:style w:type="paragraph" w:styleId="16">
    <w:name w:val="Date"/>
    <w:basedOn w:val="1"/>
    <w:next w:val="1"/>
    <w:link w:val="143"/>
    <w:qFormat/>
    <w:uiPriority w:val="0"/>
    <w:pPr>
      <w:ind w:left="100" w:leftChars="2500"/>
    </w:pPr>
    <w:rPr>
      <w:rFonts w:ascii="Calibri" w:hAnsi="Calibri" w:eastAsia="宋体" w:cs="Times New Roman"/>
      <w:kern w:val="0"/>
      <w:sz w:val="20"/>
      <w:szCs w:val="24"/>
    </w:rPr>
  </w:style>
  <w:style w:type="paragraph" w:styleId="17">
    <w:name w:val="Body Text Indent 2"/>
    <w:basedOn w:val="1"/>
    <w:next w:val="1"/>
    <w:link w:val="146"/>
    <w:unhideWhenUsed/>
    <w:qFormat/>
    <w:uiPriority w:val="99"/>
    <w:pPr>
      <w:spacing w:after="120" w:line="480" w:lineRule="auto"/>
      <w:ind w:left="420" w:leftChars="200"/>
    </w:pPr>
    <w:rPr>
      <w:rFonts w:eastAsia="宋体"/>
    </w:rPr>
  </w:style>
  <w:style w:type="paragraph" w:styleId="18">
    <w:name w:val="Balloon Text"/>
    <w:basedOn w:val="1"/>
    <w:link w:val="150"/>
    <w:qFormat/>
    <w:uiPriority w:val="0"/>
    <w:rPr>
      <w:rFonts w:ascii="Calibri" w:hAnsi="Calibri" w:eastAsia="宋体" w:cs="Times New Roman"/>
      <w:kern w:val="0"/>
      <w:sz w:val="18"/>
      <w:szCs w:val="18"/>
    </w:rPr>
  </w:style>
  <w:style w:type="paragraph" w:styleId="19">
    <w:name w:val="footer"/>
    <w:basedOn w:val="1"/>
    <w:link w:val="140"/>
    <w:unhideWhenUsed/>
    <w:qFormat/>
    <w:uiPriority w:val="99"/>
    <w:pPr>
      <w:tabs>
        <w:tab w:val="center" w:pos="4153"/>
        <w:tab w:val="right" w:pos="8306"/>
      </w:tabs>
      <w:snapToGrid w:val="0"/>
      <w:jc w:val="left"/>
    </w:pPr>
    <w:rPr>
      <w:rFonts w:eastAsia="宋体" w:cs="Times New Roman"/>
      <w:kern w:val="0"/>
      <w:sz w:val="18"/>
      <w:szCs w:val="18"/>
    </w:rPr>
  </w:style>
  <w:style w:type="paragraph" w:styleId="20">
    <w:name w:val="header"/>
    <w:basedOn w:val="1"/>
    <w:link w:val="139"/>
    <w:unhideWhenUsed/>
    <w:qFormat/>
    <w:uiPriority w:val="0"/>
    <w:pPr>
      <w:pBdr>
        <w:bottom w:val="single" w:color="auto" w:sz="6" w:space="1"/>
      </w:pBdr>
      <w:tabs>
        <w:tab w:val="center" w:pos="4153"/>
        <w:tab w:val="right" w:pos="8306"/>
      </w:tabs>
      <w:snapToGrid w:val="0"/>
      <w:jc w:val="center"/>
    </w:pPr>
    <w:rPr>
      <w:rFonts w:eastAsia="宋体" w:cs="Times New Roman"/>
      <w:kern w:val="0"/>
      <w:sz w:val="18"/>
      <w:szCs w:val="18"/>
    </w:rPr>
  </w:style>
  <w:style w:type="paragraph" w:styleId="21">
    <w:name w:val="toc 1"/>
    <w:basedOn w:val="1"/>
    <w:next w:val="1"/>
    <w:unhideWhenUsed/>
    <w:qFormat/>
    <w:uiPriority w:val="39"/>
    <w:pPr>
      <w:widowControl/>
      <w:tabs>
        <w:tab w:val="right" w:leader="dot" w:pos="8296"/>
      </w:tabs>
      <w:spacing w:after="100" w:line="276" w:lineRule="auto"/>
      <w:jc w:val="left"/>
    </w:pPr>
    <w:rPr>
      <w:b/>
      <w:kern w:val="44"/>
    </w:rPr>
  </w:style>
  <w:style w:type="paragraph" w:styleId="22">
    <w:name w:val="toc 2"/>
    <w:basedOn w:val="1"/>
    <w:next w:val="1"/>
    <w:unhideWhenUsed/>
    <w:qFormat/>
    <w:uiPriority w:val="39"/>
    <w:pPr>
      <w:widowControl/>
      <w:spacing w:after="100" w:line="276" w:lineRule="auto"/>
      <w:ind w:left="220"/>
      <w:jc w:val="left"/>
    </w:pPr>
    <w:rPr>
      <w:rFonts w:ascii="Calibri" w:hAnsi="Calibri" w:cs="Times New Roman"/>
      <w:kern w:val="0"/>
      <w:sz w:val="22"/>
      <w:szCs w:val="22"/>
    </w:rPr>
  </w:style>
  <w:style w:type="paragraph" w:styleId="23">
    <w:name w:val="HTML Preformatted"/>
    <w:basedOn w:val="1"/>
    <w:link w:val="14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kern w:val="0"/>
      <w:szCs w:val="24"/>
    </w:rPr>
  </w:style>
  <w:style w:type="paragraph" w:styleId="24">
    <w:name w:val="Normal (Web)"/>
    <w:basedOn w:val="1"/>
    <w:qFormat/>
    <w:uiPriority w:val="99"/>
    <w:pPr>
      <w:spacing w:beforeAutospacing="1" w:afterAutospacing="1"/>
      <w:jc w:val="left"/>
    </w:pPr>
    <w:rPr>
      <w:kern w:val="0"/>
    </w:rPr>
  </w:style>
  <w:style w:type="paragraph" w:styleId="25">
    <w:name w:val="Title"/>
    <w:basedOn w:val="1"/>
    <w:next w:val="1"/>
    <w:link w:val="133"/>
    <w:qFormat/>
    <w:uiPriority w:val="10"/>
    <w:pPr>
      <w:spacing w:before="240" w:after="60" w:line="240" w:lineRule="auto"/>
      <w:ind w:firstLine="0" w:firstLineChars="0"/>
      <w:jc w:val="center"/>
      <w:outlineLvl w:val="0"/>
    </w:pPr>
    <w:rPr>
      <w:rFonts w:ascii="Cambria" w:hAnsi="Cambria" w:eastAsia="宋体" w:cstheme="majorBidi"/>
      <w:b/>
      <w:bCs/>
      <w:sz w:val="32"/>
      <w:szCs w:val="32"/>
    </w:rPr>
  </w:style>
  <w:style w:type="paragraph" w:styleId="26">
    <w:name w:val="annotation subject"/>
    <w:basedOn w:val="11"/>
    <w:next w:val="11"/>
    <w:link w:val="149"/>
    <w:qFormat/>
    <w:uiPriority w:val="0"/>
    <w:rPr>
      <w:b/>
      <w:bCs/>
    </w:rPr>
  </w:style>
  <w:style w:type="paragraph" w:styleId="27">
    <w:name w:val="Body Text First Indent"/>
    <w:basedOn w:val="12"/>
    <w:link w:val="144"/>
    <w:qFormat/>
    <w:uiPriority w:val="0"/>
    <w:rPr>
      <w:kern w:val="2"/>
      <w:szCs w:val="22"/>
    </w:rPr>
  </w:style>
  <w:style w:type="paragraph" w:styleId="28">
    <w:name w:val="Body Text First Indent 2"/>
    <w:basedOn w:val="1"/>
    <w:next w:val="1"/>
    <w:link w:val="145"/>
    <w:qFormat/>
    <w:uiPriority w:val="0"/>
    <w:pPr>
      <w:ind w:firstLine="420"/>
    </w:pPr>
    <w:rPr>
      <w:rFonts w:ascii="宋体" w:hAnsi="Calibri"/>
      <w:spacing w:val="6"/>
    </w:rPr>
  </w:style>
  <w:style w:type="table" w:styleId="30">
    <w:name w:val="Table Grid"/>
    <w:basedOn w:val="29"/>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rPr>
  </w:style>
  <w:style w:type="character" w:styleId="33">
    <w:name w:val="page number"/>
    <w:qFormat/>
    <w:uiPriority w:val="99"/>
    <w:rPr>
      <w:rFonts w:cs="Times New Roman"/>
    </w:rPr>
  </w:style>
  <w:style w:type="character" w:styleId="34">
    <w:name w:val="FollowedHyperlink"/>
    <w:unhideWhenUsed/>
    <w:qFormat/>
    <w:uiPriority w:val="99"/>
    <w:rPr>
      <w:color w:val="000000"/>
      <w:u w:val="none"/>
    </w:rPr>
  </w:style>
  <w:style w:type="character" w:styleId="35">
    <w:name w:val="Emphasis"/>
    <w:qFormat/>
    <w:uiPriority w:val="20"/>
    <w:rPr>
      <w:b/>
    </w:rPr>
  </w:style>
  <w:style w:type="character" w:styleId="36">
    <w:name w:val="HTML Definition"/>
    <w:basedOn w:val="31"/>
    <w:unhideWhenUsed/>
    <w:qFormat/>
    <w:uiPriority w:val="99"/>
  </w:style>
  <w:style w:type="character" w:styleId="37">
    <w:name w:val="HTML Variable"/>
    <w:basedOn w:val="31"/>
    <w:unhideWhenUsed/>
    <w:qFormat/>
    <w:uiPriority w:val="99"/>
  </w:style>
  <w:style w:type="character" w:styleId="38">
    <w:name w:val="Hyperlink"/>
    <w:unhideWhenUsed/>
    <w:qFormat/>
    <w:uiPriority w:val="99"/>
    <w:rPr>
      <w:color w:val="0000FF"/>
      <w:u w:val="single"/>
    </w:rPr>
  </w:style>
  <w:style w:type="character" w:styleId="39">
    <w:name w:val="HTML Code"/>
    <w:unhideWhenUsed/>
    <w:qFormat/>
    <w:uiPriority w:val="99"/>
    <w:rPr>
      <w:rFonts w:ascii="Courier New" w:hAnsi="Courier New"/>
      <w:sz w:val="20"/>
    </w:rPr>
  </w:style>
  <w:style w:type="character" w:styleId="40">
    <w:name w:val="annotation reference"/>
    <w:qFormat/>
    <w:uiPriority w:val="0"/>
    <w:rPr>
      <w:sz w:val="21"/>
      <w:szCs w:val="21"/>
    </w:rPr>
  </w:style>
  <w:style w:type="character" w:styleId="41">
    <w:name w:val="HTML Cite"/>
    <w:basedOn w:val="31"/>
    <w:unhideWhenUsed/>
    <w:qFormat/>
    <w:uiPriority w:val="99"/>
  </w:style>
  <w:style w:type="paragraph" w:customStyle="1" w:styleId="42">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lang w:val="en-US" w:eastAsia="zh-CN" w:bidi="ar-SA"/>
    </w:rPr>
  </w:style>
  <w:style w:type="paragraph" w:customStyle="1" w:styleId="43">
    <w:name w:val="xl84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44">
    <w:name w:val="正文1"/>
    <w:qFormat/>
    <w:uiPriority w:val="0"/>
    <w:pPr>
      <w:jc w:val="both"/>
    </w:pPr>
    <w:rPr>
      <w:rFonts w:ascii="Times New Roman" w:hAnsi="Times New Roman" w:eastAsia="宋体" w:cs="Calibri"/>
      <w:kern w:val="2"/>
      <w:sz w:val="21"/>
      <w:szCs w:val="21"/>
      <w:lang w:val="en-US" w:eastAsia="zh-CN" w:bidi="ar-SA"/>
    </w:rPr>
  </w:style>
  <w:style w:type="paragraph" w:customStyle="1" w:styleId="45">
    <w:name w:val="xl81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46">
    <w:name w:val="xl8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47">
    <w:name w:val="xl82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48">
    <w:name w:val="_Style 15"/>
    <w:basedOn w:val="1"/>
    <w:next w:val="1"/>
    <w:qFormat/>
    <w:uiPriority w:val="39"/>
    <w:pPr>
      <w:ind w:left="840" w:leftChars="400"/>
    </w:pPr>
  </w:style>
  <w:style w:type="paragraph" w:customStyle="1" w:styleId="49">
    <w:name w:val="xl8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50">
    <w:name w:val="font7"/>
    <w:basedOn w:val="1"/>
    <w:qFormat/>
    <w:uiPriority w:val="0"/>
    <w:pPr>
      <w:widowControl/>
      <w:spacing w:before="100" w:beforeAutospacing="1" w:after="100" w:afterAutospacing="1" w:line="240" w:lineRule="auto"/>
      <w:ind w:firstLine="0" w:firstLineChars="0"/>
      <w:jc w:val="left"/>
    </w:pPr>
    <w:rPr>
      <w:rFonts w:ascii="Calibri" w:hAnsi="Calibri" w:eastAsia="宋体"/>
      <w:color w:val="000000"/>
      <w:kern w:val="0"/>
      <w:sz w:val="22"/>
      <w:szCs w:val="22"/>
    </w:rPr>
  </w:style>
  <w:style w:type="paragraph" w:customStyle="1" w:styleId="51">
    <w:name w:val="xl83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52">
    <w:name w:val="Char"/>
    <w:basedOn w:val="1"/>
    <w:qFormat/>
    <w:uiPriority w:val="0"/>
    <w:pPr>
      <w:snapToGrid w:val="0"/>
      <w:ind w:firstLine="529"/>
    </w:pPr>
    <w:rPr>
      <w:rFonts w:ascii="宋体" w:hAnsi="宋体"/>
      <w:b/>
    </w:rPr>
  </w:style>
  <w:style w:type="paragraph" w:customStyle="1" w:styleId="53">
    <w:name w:val="xl8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54">
    <w:name w:val="xl82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55">
    <w:name w:val="Char4"/>
    <w:basedOn w:val="1"/>
    <w:qFormat/>
    <w:uiPriority w:val="0"/>
    <w:rPr>
      <w:rFonts w:ascii="宋体" w:hAnsi="宋体" w:eastAsia="Times New Roman"/>
      <w:b/>
      <w:kern w:val="0"/>
      <w:sz w:val="20"/>
      <w:szCs w:val="20"/>
    </w:rPr>
  </w:style>
  <w:style w:type="paragraph" w:customStyle="1" w:styleId="56">
    <w:name w:val="xl8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57">
    <w:name w:val="xl83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58">
    <w:name w:val="xl8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59">
    <w:name w:val="xl8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60">
    <w:name w:val="xl83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61">
    <w:name w:val="font5"/>
    <w:basedOn w:val="1"/>
    <w:qFormat/>
    <w:uiPriority w:val="0"/>
    <w:pPr>
      <w:widowControl/>
      <w:spacing w:before="100" w:beforeAutospacing="1" w:after="100" w:afterAutospacing="1" w:line="240" w:lineRule="auto"/>
      <w:ind w:firstLine="0" w:firstLineChars="0"/>
      <w:jc w:val="left"/>
    </w:pPr>
    <w:rPr>
      <w:rFonts w:ascii="Calibri" w:hAnsi="Calibri" w:eastAsia="宋体"/>
      <w:color w:val="000000"/>
      <w:kern w:val="0"/>
      <w:sz w:val="22"/>
      <w:szCs w:val="22"/>
    </w:rPr>
  </w:style>
  <w:style w:type="paragraph" w:customStyle="1" w:styleId="62">
    <w:name w:val="xl85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63">
    <w:name w:val="xl8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64">
    <w:name w:val="xl81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65">
    <w:name w:val="表格内容1"/>
    <w:basedOn w:val="24"/>
    <w:link w:val="66"/>
    <w:qFormat/>
    <w:uiPriority w:val="0"/>
    <w:pPr>
      <w:widowControl/>
      <w:spacing w:beforeAutospacing="0" w:afterAutospacing="0" w:line="240" w:lineRule="auto"/>
      <w:ind w:firstLine="0" w:firstLineChars="0"/>
      <w:jc w:val="center"/>
    </w:pPr>
    <w:rPr>
      <w:rFonts w:eastAsia="宋体" w:cs="宋体"/>
      <w:sz w:val="21"/>
    </w:rPr>
  </w:style>
  <w:style w:type="character" w:customStyle="1" w:styleId="66">
    <w:name w:val="表格内容1 字符"/>
    <w:link w:val="65"/>
    <w:qFormat/>
    <w:uiPriority w:val="0"/>
    <w:rPr>
      <w:rFonts w:cs="宋体"/>
      <w:sz w:val="21"/>
      <w:szCs w:val="21"/>
    </w:rPr>
  </w:style>
  <w:style w:type="paragraph" w:customStyle="1" w:styleId="67">
    <w:name w:val="xl8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Cs w:val="24"/>
    </w:rPr>
  </w:style>
  <w:style w:type="paragraph" w:customStyle="1" w:styleId="68">
    <w:name w:val="xl8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69">
    <w:name w:val="font6"/>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2"/>
      <w:szCs w:val="22"/>
    </w:rPr>
  </w:style>
  <w:style w:type="paragraph" w:customStyle="1" w:styleId="70">
    <w:name w:val="xl8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71">
    <w:name w:val="xl84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72">
    <w:name w:val="font8"/>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73">
    <w:name w:val="xl83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74">
    <w:name w:val="xl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75">
    <w:name w:val="标题 #8 (2)"/>
    <w:basedOn w:val="1"/>
    <w:qFormat/>
    <w:uiPriority w:val="0"/>
    <w:pPr>
      <w:shd w:val="clear" w:color="auto" w:fill="FFFFFF"/>
      <w:spacing w:before="420" w:after="300" w:line="0" w:lineRule="atLeast"/>
      <w:outlineLvl w:val="7"/>
    </w:pPr>
    <w:rPr>
      <w:rFonts w:ascii="MingLiU" w:hAnsi="MingLiU" w:eastAsia="MingLiU" w:cs="MingLiU"/>
      <w:spacing w:val="-10"/>
      <w:sz w:val="25"/>
      <w:szCs w:val="25"/>
    </w:rPr>
  </w:style>
  <w:style w:type="paragraph" w:customStyle="1" w:styleId="76">
    <w:name w:val="段落"/>
    <w:basedOn w:val="1"/>
    <w:next w:val="1"/>
    <w:link w:val="77"/>
    <w:qFormat/>
    <w:uiPriority w:val="0"/>
    <w:pPr>
      <w:ind w:firstLine="480"/>
    </w:pPr>
    <w:rPr>
      <w:rFonts w:eastAsia="宋体" w:cs="宋体"/>
      <w:kern w:val="0"/>
      <w:szCs w:val="24"/>
      <w:lang w:val="zh-CN"/>
    </w:rPr>
  </w:style>
  <w:style w:type="character" w:customStyle="1" w:styleId="77">
    <w:name w:val="段落 Char Char"/>
    <w:link w:val="76"/>
    <w:qFormat/>
    <w:uiPriority w:val="0"/>
    <w:rPr>
      <w:rFonts w:cs="宋体"/>
      <w:sz w:val="24"/>
      <w:szCs w:val="24"/>
      <w:lang w:val="zh-CN"/>
    </w:rPr>
  </w:style>
  <w:style w:type="paragraph" w:customStyle="1" w:styleId="78">
    <w:name w:val="xl82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79">
    <w:name w:val="xl83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80">
    <w:name w:val="xl831"/>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240" w:lineRule="auto"/>
      <w:ind w:firstLine="0" w:firstLineChars="0"/>
      <w:jc w:val="center"/>
    </w:pPr>
    <w:rPr>
      <w:rFonts w:ascii="Calibri" w:hAnsi="Calibri" w:eastAsia="宋体"/>
      <w:color w:val="000000"/>
      <w:kern w:val="0"/>
      <w:szCs w:val="24"/>
    </w:rPr>
  </w:style>
  <w:style w:type="paragraph" w:customStyle="1" w:styleId="81">
    <w:name w:val="表头"/>
    <w:basedOn w:val="9"/>
    <w:link w:val="82"/>
    <w:qFormat/>
    <w:uiPriority w:val="0"/>
    <w:pPr>
      <w:adjustRightInd w:val="0"/>
      <w:snapToGrid w:val="0"/>
      <w:jc w:val="center"/>
    </w:pPr>
    <w:rPr>
      <w:rFonts w:ascii="Times New Roman" w:hAnsi="Times New Roman" w:eastAsia="仿宋" w:cs="Times New Roman"/>
      <w:b/>
      <w:bCs/>
      <w:sz w:val="24"/>
      <w:szCs w:val="21"/>
    </w:rPr>
  </w:style>
  <w:style w:type="character" w:customStyle="1" w:styleId="82">
    <w:name w:val="表头 Char"/>
    <w:link w:val="81"/>
    <w:qFormat/>
    <w:uiPriority w:val="0"/>
    <w:rPr>
      <w:rFonts w:eastAsia="仿宋"/>
      <w:b/>
      <w:bCs/>
      <w:kern w:val="2"/>
      <w:sz w:val="24"/>
      <w:szCs w:val="21"/>
    </w:rPr>
  </w:style>
  <w:style w:type="paragraph" w:customStyle="1" w:styleId="83">
    <w:name w:val="图表表头"/>
    <w:basedOn w:val="1"/>
    <w:link w:val="84"/>
    <w:qFormat/>
    <w:uiPriority w:val="0"/>
    <w:pPr>
      <w:jc w:val="center"/>
    </w:pPr>
    <w:rPr>
      <w:rFonts w:eastAsia="宋体"/>
      <w:kern w:val="0"/>
      <w:szCs w:val="24"/>
    </w:rPr>
  </w:style>
  <w:style w:type="character" w:customStyle="1" w:styleId="84">
    <w:name w:val="图表表头 Char"/>
    <w:link w:val="83"/>
    <w:qFormat/>
    <w:uiPriority w:val="0"/>
    <w:rPr>
      <w:rFonts w:cs="Calibri"/>
      <w:sz w:val="24"/>
      <w:szCs w:val="24"/>
    </w:rPr>
  </w:style>
  <w:style w:type="paragraph" w:customStyle="1" w:styleId="85">
    <w:name w:val="表格"/>
    <w:basedOn w:val="15"/>
    <w:next w:val="1"/>
    <w:qFormat/>
    <w:uiPriority w:val="0"/>
    <w:pPr>
      <w:spacing w:line="240" w:lineRule="auto"/>
      <w:ind w:firstLine="0" w:firstLineChars="0"/>
      <w:jc w:val="center"/>
    </w:pPr>
    <w:rPr>
      <w:rFonts w:hint="eastAsia" w:ascii="Times New Roman" w:hAnsi="Times New Roman" w:eastAsia="宋体"/>
      <w:sz w:val="21"/>
      <w:szCs w:val="20"/>
    </w:rPr>
  </w:style>
  <w:style w:type="character" w:customStyle="1" w:styleId="86">
    <w:name w:val="纯文本 字符"/>
    <w:basedOn w:val="31"/>
    <w:link w:val="15"/>
    <w:qFormat/>
    <w:uiPriority w:val="0"/>
    <w:rPr>
      <w:rFonts w:ascii="宋体" w:hAnsi="Courier New" w:eastAsia="仿宋" w:cs="Courier New"/>
      <w:kern w:val="2"/>
      <w:sz w:val="24"/>
      <w:szCs w:val="21"/>
    </w:rPr>
  </w:style>
  <w:style w:type="paragraph" w:customStyle="1" w:styleId="87">
    <w:name w:val="xl8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88">
    <w:name w:val="xl8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89">
    <w:name w:val="xl8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90">
    <w:name w:val="xl8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b/>
      <w:bCs/>
      <w:kern w:val="0"/>
      <w:szCs w:val="24"/>
    </w:rPr>
  </w:style>
  <w:style w:type="paragraph" w:customStyle="1" w:styleId="91">
    <w:name w:val="Table Paragraph"/>
    <w:basedOn w:val="1"/>
    <w:qFormat/>
    <w:uiPriority w:val="1"/>
    <w:pPr>
      <w:jc w:val="left"/>
    </w:pPr>
    <w:rPr>
      <w:kern w:val="0"/>
      <w:sz w:val="22"/>
      <w:szCs w:val="22"/>
      <w:lang w:eastAsia="en-US"/>
    </w:rPr>
  </w:style>
  <w:style w:type="paragraph" w:customStyle="1" w:styleId="92">
    <w:name w:val="样式 标题 1 + 黑体 三号 非加粗"/>
    <w:basedOn w:val="2"/>
    <w:qFormat/>
    <w:uiPriority w:val="0"/>
    <w:pPr>
      <w:spacing w:after="0"/>
    </w:pPr>
    <w:rPr>
      <w:rFonts w:ascii="黑体" w:hAnsi="黑体" w:cs="Calibri"/>
      <w:b w:val="0"/>
      <w:bCs w:val="0"/>
    </w:rPr>
  </w:style>
  <w:style w:type="character" w:customStyle="1" w:styleId="93">
    <w:name w:val="标题 1 字符"/>
    <w:link w:val="2"/>
    <w:qFormat/>
    <w:uiPriority w:val="9"/>
    <w:rPr>
      <w:rFonts w:eastAsia="黑体"/>
      <w:b/>
      <w:bCs/>
      <w:kern w:val="44"/>
      <w:sz w:val="32"/>
      <w:szCs w:val="44"/>
    </w:rPr>
  </w:style>
  <w:style w:type="paragraph" w:customStyle="1" w:styleId="94">
    <w:name w:val="xl84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95">
    <w:name w:val="xl83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96">
    <w:name w:val="xl83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97">
    <w:name w:val="xl846"/>
    <w:basedOn w:val="1"/>
    <w:qFormat/>
    <w:uiPriority w:val="0"/>
    <w:pPr>
      <w:widowControl/>
      <w:pBdr>
        <w:top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98">
    <w:name w:val="xl8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99">
    <w:name w:val="xl8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Calibri" w:hAnsi="Calibri" w:eastAsia="宋体"/>
      <w:color w:val="000000"/>
      <w:kern w:val="0"/>
      <w:szCs w:val="24"/>
    </w:rPr>
  </w:style>
  <w:style w:type="paragraph" w:customStyle="1" w:styleId="100">
    <w:name w:val="xl82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101">
    <w:name w:val="标准正文"/>
    <w:basedOn w:val="1"/>
    <w:qFormat/>
    <w:uiPriority w:val="0"/>
    <w:pPr>
      <w:jc w:val="left"/>
    </w:pPr>
    <w:rPr>
      <w:szCs w:val="22"/>
    </w:rPr>
  </w:style>
  <w:style w:type="paragraph" w:customStyle="1" w:styleId="102">
    <w:name w:val="表格标题"/>
    <w:basedOn w:val="85"/>
    <w:qFormat/>
    <w:uiPriority w:val="0"/>
    <w:pPr>
      <w:spacing w:line="480" w:lineRule="exact"/>
    </w:pPr>
    <w:rPr>
      <w:rFonts w:eastAsia="黑体"/>
      <w:szCs w:val="24"/>
    </w:rPr>
  </w:style>
  <w:style w:type="paragraph" w:customStyle="1" w:styleId="103">
    <w:name w:val="TOC 标题1"/>
    <w:basedOn w:val="2"/>
    <w:next w:val="1"/>
    <w:qFormat/>
    <w:uiPriority w:val="39"/>
    <w:pPr>
      <w:spacing w:before="480" w:after="0" w:line="276" w:lineRule="auto"/>
      <w:outlineLvl w:val="9"/>
    </w:pPr>
    <w:rPr>
      <w:rFonts w:ascii="Cambria" w:hAnsi="Cambria" w:cs="Calibri"/>
      <w:color w:val="365F91"/>
      <w:kern w:val="0"/>
      <w:sz w:val="28"/>
      <w:szCs w:val="28"/>
    </w:rPr>
  </w:style>
  <w:style w:type="paragraph" w:customStyle="1" w:styleId="104">
    <w:name w:val="xl8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105">
    <w:name w:val="表内文字"/>
    <w:basedOn w:val="1"/>
    <w:link w:val="106"/>
    <w:qFormat/>
    <w:uiPriority w:val="0"/>
    <w:pPr>
      <w:tabs>
        <w:tab w:val="left" w:pos="1260"/>
      </w:tabs>
      <w:adjustRightInd w:val="0"/>
      <w:snapToGrid w:val="0"/>
      <w:spacing w:line="240" w:lineRule="auto"/>
      <w:ind w:firstLine="0" w:firstLineChars="0"/>
      <w:jc w:val="center"/>
    </w:pPr>
    <w:rPr>
      <w:rFonts w:hAnsi="宋体" w:eastAsia="宋体"/>
      <w:sz w:val="21"/>
    </w:rPr>
  </w:style>
  <w:style w:type="character" w:customStyle="1" w:styleId="106">
    <w:name w:val="表内文字 Char"/>
    <w:link w:val="105"/>
    <w:qFormat/>
    <w:uiPriority w:val="0"/>
    <w:rPr>
      <w:rFonts w:hAnsi="宋体" w:cs="Calibri"/>
      <w:kern w:val="2"/>
      <w:sz w:val="21"/>
      <w:szCs w:val="21"/>
    </w:rPr>
  </w:style>
  <w:style w:type="character" w:customStyle="1" w:styleId="107">
    <w:name w:val="font151"/>
    <w:basedOn w:val="31"/>
    <w:qFormat/>
    <w:uiPriority w:val="0"/>
    <w:rPr>
      <w:rFonts w:hint="eastAsia" w:ascii="宋体" w:hAnsi="宋体" w:eastAsia="宋体" w:cs="宋体"/>
      <w:color w:val="000000"/>
      <w:sz w:val="20"/>
      <w:szCs w:val="20"/>
      <w:u w:val="none"/>
    </w:rPr>
  </w:style>
  <w:style w:type="character" w:customStyle="1" w:styleId="108">
    <w:name w:val="批注主题 Char1"/>
    <w:semiHidden/>
    <w:qFormat/>
    <w:uiPriority w:val="99"/>
    <w:rPr>
      <w:rFonts w:ascii="Times New Roman" w:hAnsi="Times New Roman" w:eastAsia="宋体" w:cs="Calibri"/>
      <w:b/>
      <w:bCs/>
      <w:szCs w:val="21"/>
    </w:rPr>
  </w:style>
  <w:style w:type="character" w:customStyle="1" w:styleId="109">
    <w:name w:val="font61"/>
    <w:basedOn w:val="31"/>
    <w:qFormat/>
    <w:uiPriority w:val="0"/>
    <w:rPr>
      <w:rFonts w:hint="default" w:ascii="Times New Roman" w:hAnsi="Times New Roman" w:cs="Times New Roman"/>
      <w:b/>
      <w:color w:val="000000"/>
      <w:sz w:val="20"/>
      <w:szCs w:val="20"/>
      <w:u w:val="none"/>
    </w:rPr>
  </w:style>
  <w:style w:type="character" w:customStyle="1" w:styleId="110">
    <w:name w:val="font51"/>
    <w:qFormat/>
    <w:uiPriority w:val="0"/>
    <w:rPr>
      <w:rFonts w:hint="default" w:ascii="Times New Roman" w:hAnsi="Times New Roman" w:cs="Times New Roman"/>
      <w:color w:val="000000"/>
      <w:sz w:val="21"/>
      <w:szCs w:val="21"/>
      <w:u w:val="none"/>
    </w:rPr>
  </w:style>
  <w:style w:type="character" w:customStyle="1" w:styleId="111">
    <w:name w:val="font131"/>
    <w:basedOn w:val="31"/>
    <w:qFormat/>
    <w:uiPriority w:val="0"/>
    <w:rPr>
      <w:rFonts w:hint="default" w:ascii="Times New Roman" w:hAnsi="Times New Roman" w:cs="Times New Roman"/>
      <w:b/>
      <w:color w:val="FF0000"/>
      <w:sz w:val="20"/>
      <w:szCs w:val="20"/>
      <w:u w:val="none"/>
    </w:rPr>
  </w:style>
  <w:style w:type="character" w:customStyle="1" w:styleId="112">
    <w:name w:val="批注文字 Char2"/>
    <w:semiHidden/>
    <w:qFormat/>
    <w:uiPriority w:val="99"/>
    <w:rPr>
      <w:rFonts w:ascii="Times New Roman" w:hAnsi="Times New Roman" w:eastAsia="宋体" w:cs="Calibri"/>
      <w:szCs w:val="21"/>
    </w:rPr>
  </w:style>
  <w:style w:type="character" w:customStyle="1" w:styleId="113">
    <w:name w:val="正文文本 Char2"/>
    <w:semiHidden/>
    <w:qFormat/>
    <w:uiPriority w:val="99"/>
    <w:rPr>
      <w:rFonts w:ascii="Times New Roman" w:hAnsi="Times New Roman" w:eastAsia="宋体" w:cs="Calibri"/>
      <w:szCs w:val="21"/>
    </w:rPr>
  </w:style>
  <w:style w:type="character" w:customStyle="1" w:styleId="114">
    <w:name w:val="font21"/>
    <w:qFormat/>
    <w:uiPriority w:val="0"/>
    <w:rPr>
      <w:rFonts w:hint="default" w:ascii="Times New Roman" w:hAnsi="Times New Roman" w:cs="Times New Roman"/>
      <w:color w:val="000000"/>
      <w:sz w:val="21"/>
      <w:szCs w:val="21"/>
      <w:u w:val="none"/>
    </w:rPr>
  </w:style>
  <w:style w:type="character" w:customStyle="1" w:styleId="115">
    <w:name w:val="日期 Char1"/>
    <w:semiHidden/>
    <w:qFormat/>
    <w:uiPriority w:val="99"/>
    <w:rPr>
      <w:rFonts w:ascii="Times New Roman" w:hAnsi="Times New Roman" w:eastAsia="宋体" w:cs="Calibri"/>
      <w:szCs w:val="21"/>
    </w:rPr>
  </w:style>
  <w:style w:type="character" w:customStyle="1" w:styleId="116">
    <w:name w:val="批注框文本 字符"/>
    <w:qFormat/>
    <w:uiPriority w:val="99"/>
    <w:rPr>
      <w:rFonts w:ascii="Calibri" w:hAnsi="Calibri"/>
      <w:kern w:val="2"/>
      <w:sz w:val="18"/>
      <w:szCs w:val="18"/>
    </w:rPr>
  </w:style>
  <w:style w:type="character" w:customStyle="1" w:styleId="117">
    <w:name w:val="font11"/>
    <w:qFormat/>
    <w:uiPriority w:val="0"/>
    <w:rPr>
      <w:rFonts w:hint="eastAsia" w:ascii="宋体" w:hAnsi="宋体" w:eastAsia="宋体" w:cs="宋体"/>
      <w:color w:val="000000"/>
      <w:sz w:val="21"/>
      <w:szCs w:val="21"/>
      <w:u w:val="none"/>
    </w:rPr>
  </w:style>
  <w:style w:type="character" w:customStyle="1" w:styleId="118">
    <w:name w:val="font01"/>
    <w:qFormat/>
    <w:uiPriority w:val="0"/>
    <w:rPr>
      <w:rFonts w:hint="eastAsia" w:ascii="宋体" w:hAnsi="宋体" w:eastAsia="宋体" w:cs="宋体"/>
      <w:color w:val="000000"/>
      <w:sz w:val="21"/>
      <w:szCs w:val="21"/>
      <w:u w:val="none"/>
    </w:rPr>
  </w:style>
  <w:style w:type="character" w:customStyle="1" w:styleId="119">
    <w:name w:val="页眉 字符"/>
    <w:qFormat/>
    <w:uiPriority w:val="99"/>
    <w:rPr>
      <w:rFonts w:ascii="Calibri" w:hAnsi="Calibri"/>
      <w:kern w:val="2"/>
      <w:sz w:val="18"/>
      <w:szCs w:val="18"/>
    </w:rPr>
  </w:style>
  <w:style w:type="character" w:customStyle="1" w:styleId="120">
    <w:name w:val="font31"/>
    <w:qFormat/>
    <w:uiPriority w:val="0"/>
    <w:rPr>
      <w:rFonts w:hint="default" w:ascii="Times New Roman" w:hAnsi="Times New Roman" w:cs="Times New Roman"/>
      <w:color w:val="000000"/>
      <w:sz w:val="21"/>
      <w:szCs w:val="21"/>
      <w:u w:val="none"/>
    </w:rPr>
  </w:style>
  <w:style w:type="character" w:customStyle="1" w:styleId="121">
    <w:name w:val="font71"/>
    <w:basedOn w:val="31"/>
    <w:qFormat/>
    <w:uiPriority w:val="0"/>
    <w:rPr>
      <w:rFonts w:hint="eastAsia" w:ascii="宋体" w:hAnsi="宋体" w:eastAsia="宋体" w:cs="宋体"/>
      <w:b/>
      <w:color w:val="FF0000"/>
      <w:sz w:val="20"/>
      <w:szCs w:val="20"/>
      <w:u w:val="none"/>
    </w:rPr>
  </w:style>
  <w:style w:type="character" w:customStyle="1" w:styleId="122">
    <w:name w:val="正文文本 Char"/>
    <w:qFormat/>
    <w:uiPriority w:val="99"/>
    <w:rPr>
      <w:kern w:val="2"/>
      <w:sz w:val="21"/>
      <w:szCs w:val="24"/>
    </w:rPr>
  </w:style>
  <w:style w:type="character" w:customStyle="1" w:styleId="123">
    <w:name w:val="font81"/>
    <w:basedOn w:val="31"/>
    <w:qFormat/>
    <w:uiPriority w:val="0"/>
    <w:rPr>
      <w:rFonts w:hint="eastAsia" w:ascii="宋体" w:hAnsi="宋体" w:eastAsia="宋体" w:cs="宋体"/>
      <w:b/>
      <w:color w:val="000000"/>
      <w:sz w:val="20"/>
      <w:szCs w:val="20"/>
      <w:u w:val="none"/>
    </w:rPr>
  </w:style>
  <w:style w:type="character" w:customStyle="1" w:styleId="124">
    <w:name w:val="日期 字符"/>
    <w:qFormat/>
    <w:uiPriority w:val="0"/>
    <w:rPr>
      <w:rFonts w:ascii="Calibri" w:hAnsi="Calibri"/>
      <w:kern w:val="2"/>
      <w:sz w:val="21"/>
      <w:szCs w:val="24"/>
    </w:rPr>
  </w:style>
  <w:style w:type="character" w:customStyle="1" w:styleId="125">
    <w:name w:val="font41"/>
    <w:qFormat/>
    <w:uiPriority w:val="0"/>
    <w:rPr>
      <w:rFonts w:hint="default" w:ascii="Times New Roman" w:hAnsi="Times New Roman" w:cs="Times New Roman"/>
      <w:color w:val="000000"/>
      <w:sz w:val="21"/>
      <w:szCs w:val="21"/>
      <w:u w:val="none"/>
    </w:rPr>
  </w:style>
  <w:style w:type="character" w:customStyle="1" w:styleId="126">
    <w:name w:val="批注框文本 Char1"/>
    <w:semiHidden/>
    <w:qFormat/>
    <w:uiPriority w:val="99"/>
    <w:rPr>
      <w:rFonts w:ascii="Times New Roman" w:hAnsi="Times New Roman" w:eastAsia="宋体" w:cs="Calibri"/>
      <w:sz w:val="18"/>
      <w:szCs w:val="18"/>
    </w:rPr>
  </w:style>
  <w:style w:type="character" w:customStyle="1" w:styleId="127">
    <w:name w:val="layui-layer-tabnow"/>
    <w:qFormat/>
    <w:uiPriority w:val="0"/>
    <w:rPr>
      <w:bdr w:val="single" w:color="CCCCCC" w:sz="6" w:space="0"/>
      <w:shd w:val="clear" w:color="auto" w:fill="FFFFFF"/>
    </w:rPr>
  </w:style>
  <w:style w:type="character" w:customStyle="1" w:styleId="128">
    <w:name w:val="页脚 字符"/>
    <w:qFormat/>
    <w:uiPriority w:val="99"/>
    <w:rPr>
      <w:rFonts w:ascii="Calibri" w:hAnsi="Calibri"/>
      <w:kern w:val="2"/>
      <w:sz w:val="18"/>
      <w:szCs w:val="18"/>
    </w:rPr>
  </w:style>
  <w:style w:type="character" w:customStyle="1" w:styleId="129">
    <w:name w:val="font112"/>
    <w:basedOn w:val="31"/>
    <w:qFormat/>
    <w:uiPriority w:val="0"/>
    <w:rPr>
      <w:rFonts w:hint="default" w:ascii="Times New Roman" w:hAnsi="Times New Roman" w:cs="Times New Roman"/>
      <w:color w:val="000000"/>
      <w:sz w:val="20"/>
      <w:szCs w:val="20"/>
      <w:u w:val="none"/>
    </w:rPr>
  </w:style>
  <w:style w:type="character" w:customStyle="1" w:styleId="130">
    <w:name w:val="first-child"/>
    <w:basedOn w:val="31"/>
    <w:qFormat/>
    <w:uiPriority w:val="0"/>
  </w:style>
  <w:style w:type="character" w:customStyle="1" w:styleId="131">
    <w:name w:val="font141"/>
    <w:basedOn w:val="31"/>
    <w:qFormat/>
    <w:uiPriority w:val="0"/>
    <w:rPr>
      <w:rFonts w:hint="eastAsia" w:ascii="宋体" w:hAnsi="宋体" w:eastAsia="宋体" w:cs="宋体"/>
      <w:b/>
      <w:color w:val="000000"/>
      <w:sz w:val="20"/>
      <w:szCs w:val="20"/>
      <w:u w:val="none"/>
    </w:rPr>
  </w:style>
  <w:style w:type="character" w:customStyle="1" w:styleId="132">
    <w:name w:val="批注文字 Char1"/>
    <w:qFormat/>
    <w:uiPriority w:val="0"/>
    <w:rPr>
      <w:kern w:val="2"/>
      <w:sz w:val="21"/>
      <w:szCs w:val="24"/>
    </w:rPr>
  </w:style>
  <w:style w:type="character" w:customStyle="1" w:styleId="133">
    <w:name w:val="标题 字符"/>
    <w:link w:val="25"/>
    <w:qFormat/>
    <w:uiPriority w:val="10"/>
    <w:rPr>
      <w:rFonts w:ascii="Cambria" w:hAnsi="Cambria" w:cstheme="majorBidi"/>
      <w:b/>
      <w:bCs/>
      <w:kern w:val="2"/>
      <w:sz w:val="32"/>
      <w:szCs w:val="32"/>
    </w:rPr>
  </w:style>
  <w:style w:type="character" w:customStyle="1" w:styleId="134">
    <w:name w:val="标题 2 字符"/>
    <w:link w:val="3"/>
    <w:qFormat/>
    <w:uiPriority w:val="9"/>
    <w:rPr>
      <w:rFonts w:eastAsia="黑体"/>
      <w:b/>
      <w:bCs/>
      <w:kern w:val="2"/>
      <w:sz w:val="30"/>
      <w:szCs w:val="32"/>
    </w:rPr>
  </w:style>
  <w:style w:type="character" w:customStyle="1" w:styleId="135">
    <w:name w:val="标题 3 字符"/>
    <w:link w:val="4"/>
    <w:qFormat/>
    <w:uiPriority w:val="0"/>
    <w:rPr>
      <w:rFonts w:eastAsia="黑体"/>
      <w:b/>
      <w:bCs/>
      <w:kern w:val="2"/>
      <w:sz w:val="28"/>
      <w:szCs w:val="32"/>
    </w:rPr>
  </w:style>
  <w:style w:type="character" w:customStyle="1" w:styleId="136">
    <w:name w:val="标题 4 字符"/>
    <w:link w:val="5"/>
    <w:qFormat/>
    <w:uiPriority w:val="9"/>
    <w:rPr>
      <w:rFonts w:eastAsia="黑体"/>
      <w:b/>
      <w:bCs/>
      <w:kern w:val="2"/>
      <w:sz w:val="24"/>
      <w:szCs w:val="28"/>
    </w:rPr>
  </w:style>
  <w:style w:type="character" w:customStyle="1" w:styleId="137">
    <w:name w:val="标题 5 字符"/>
    <w:basedOn w:val="31"/>
    <w:link w:val="6"/>
    <w:qFormat/>
    <w:uiPriority w:val="9"/>
    <w:rPr>
      <w:rFonts w:ascii="宋体" w:hAnsi="宋体" w:eastAsia="仿宋"/>
      <w:b/>
    </w:rPr>
  </w:style>
  <w:style w:type="character" w:customStyle="1" w:styleId="138">
    <w:name w:val="批注文字 字符"/>
    <w:link w:val="11"/>
    <w:qFormat/>
    <w:uiPriority w:val="0"/>
    <w:rPr>
      <w:szCs w:val="24"/>
    </w:rPr>
  </w:style>
  <w:style w:type="character" w:customStyle="1" w:styleId="139">
    <w:name w:val="页眉 字符1"/>
    <w:link w:val="20"/>
    <w:qFormat/>
    <w:uiPriority w:val="0"/>
    <w:rPr>
      <w:sz w:val="18"/>
      <w:szCs w:val="18"/>
    </w:rPr>
  </w:style>
  <w:style w:type="character" w:customStyle="1" w:styleId="140">
    <w:name w:val="页脚 字符1"/>
    <w:link w:val="19"/>
    <w:qFormat/>
    <w:uiPriority w:val="99"/>
    <w:rPr>
      <w:sz w:val="18"/>
      <w:szCs w:val="18"/>
    </w:rPr>
  </w:style>
  <w:style w:type="character" w:customStyle="1" w:styleId="141">
    <w:name w:val="正文文本 字符"/>
    <w:link w:val="12"/>
    <w:qFormat/>
    <w:uiPriority w:val="1"/>
    <w:rPr>
      <w:rFonts w:ascii="仿宋" w:hAnsi="仿宋" w:eastAsia="仿宋"/>
      <w:sz w:val="24"/>
      <w:szCs w:val="24"/>
      <w:lang w:eastAsia="en-US"/>
    </w:rPr>
  </w:style>
  <w:style w:type="character" w:customStyle="1" w:styleId="142">
    <w:name w:val="正文文本缩进 字符"/>
    <w:basedOn w:val="31"/>
    <w:link w:val="13"/>
    <w:qFormat/>
    <w:uiPriority w:val="0"/>
    <w:rPr>
      <w:rFonts w:ascii="Calibri" w:hAnsi="Calibri"/>
      <w:kern w:val="2"/>
      <w:sz w:val="24"/>
      <w:szCs w:val="21"/>
    </w:rPr>
  </w:style>
  <w:style w:type="character" w:customStyle="1" w:styleId="143">
    <w:name w:val="日期 字符1"/>
    <w:link w:val="16"/>
    <w:qFormat/>
    <w:uiPriority w:val="0"/>
    <w:rPr>
      <w:rFonts w:ascii="Calibri" w:hAnsi="Calibri"/>
      <w:szCs w:val="24"/>
    </w:rPr>
  </w:style>
  <w:style w:type="character" w:customStyle="1" w:styleId="144">
    <w:name w:val="正文文本首行缩进 字符"/>
    <w:basedOn w:val="141"/>
    <w:link w:val="27"/>
    <w:qFormat/>
    <w:uiPriority w:val="0"/>
    <w:rPr>
      <w:rFonts w:ascii="仿宋" w:hAnsi="仿宋" w:eastAsia="仿宋"/>
      <w:kern w:val="2"/>
      <w:sz w:val="24"/>
      <w:szCs w:val="22"/>
      <w:lang w:eastAsia="en-US"/>
    </w:rPr>
  </w:style>
  <w:style w:type="character" w:customStyle="1" w:styleId="145">
    <w:name w:val="正文文本首行缩进 2 字符"/>
    <w:basedOn w:val="142"/>
    <w:link w:val="28"/>
    <w:qFormat/>
    <w:uiPriority w:val="0"/>
    <w:rPr>
      <w:rFonts w:ascii="宋体" w:hAnsi="Calibri" w:eastAsia="仿宋" w:cs="Calibri"/>
      <w:spacing w:val="6"/>
      <w:kern w:val="2"/>
      <w:sz w:val="24"/>
      <w:szCs w:val="21"/>
    </w:rPr>
  </w:style>
  <w:style w:type="character" w:customStyle="1" w:styleId="146">
    <w:name w:val="正文文本缩进 2 字符"/>
    <w:link w:val="17"/>
    <w:qFormat/>
    <w:uiPriority w:val="99"/>
    <w:rPr>
      <w:rFonts w:cs="Calibri"/>
      <w:kern w:val="2"/>
      <w:sz w:val="24"/>
      <w:szCs w:val="21"/>
    </w:rPr>
  </w:style>
  <w:style w:type="character" w:customStyle="1" w:styleId="147">
    <w:name w:val="文档结构图 字符"/>
    <w:link w:val="10"/>
    <w:qFormat/>
    <w:uiPriority w:val="99"/>
    <w:rPr>
      <w:rFonts w:ascii="宋体" w:cs="Calibri"/>
      <w:kern w:val="2"/>
      <w:sz w:val="18"/>
      <w:szCs w:val="18"/>
    </w:rPr>
  </w:style>
  <w:style w:type="character" w:customStyle="1" w:styleId="148">
    <w:name w:val="HTML 预设格式 字符"/>
    <w:link w:val="23"/>
    <w:qFormat/>
    <w:uiPriority w:val="99"/>
    <w:rPr>
      <w:rFonts w:ascii="宋体" w:hAnsi="宋体" w:cs="宋体"/>
      <w:sz w:val="24"/>
      <w:szCs w:val="24"/>
    </w:rPr>
  </w:style>
  <w:style w:type="character" w:customStyle="1" w:styleId="149">
    <w:name w:val="批注主题 字符"/>
    <w:link w:val="26"/>
    <w:qFormat/>
    <w:uiPriority w:val="0"/>
    <w:rPr>
      <w:b/>
      <w:bCs/>
      <w:szCs w:val="24"/>
    </w:rPr>
  </w:style>
  <w:style w:type="character" w:customStyle="1" w:styleId="150">
    <w:name w:val="批注框文本 字符1"/>
    <w:link w:val="18"/>
    <w:qFormat/>
    <w:uiPriority w:val="0"/>
    <w:rPr>
      <w:rFonts w:ascii="Calibri" w:hAnsi="Calibri"/>
      <w:sz w:val="18"/>
      <w:szCs w:val="18"/>
    </w:rPr>
  </w:style>
  <w:style w:type="character" w:styleId="151">
    <w:name w:val="Placeholder Text"/>
    <w:semiHidden/>
    <w:qFormat/>
    <w:uiPriority w:val="99"/>
    <w:rPr>
      <w:color w:val="808080"/>
    </w:rPr>
  </w:style>
  <w:style w:type="paragraph" w:styleId="152">
    <w:name w:val="List Paragraph"/>
    <w:basedOn w:val="1"/>
    <w:link w:val="153"/>
    <w:qFormat/>
    <w:uiPriority w:val="34"/>
    <w:pPr>
      <w:ind w:firstLine="420"/>
    </w:pPr>
  </w:style>
  <w:style w:type="character" w:customStyle="1" w:styleId="153">
    <w:name w:val="列表段落 字符"/>
    <w:link w:val="152"/>
    <w:qFormat/>
    <w:uiPriority w:val="99"/>
    <w:rPr>
      <w:rFonts w:eastAsia="仿宋" w:cs="Calibri"/>
      <w:kern w:val="2"/>
      <w:sz w:val="24"/>
      <w:szCs w:val="21"/>
    </w:rPr>
  </w:style>
  <w:style w:type="paragraph" w:customStyle="1" w:styleId="154">
    <w:name w:val="_Title"/>
    <w:basedOn w:val="1"/>
    <w:qFormat/>
    <w:uiPriority w:val="0"/>
    <w:pPr>
      <w:overflowPunct w:val="0"/>
      <w:spacing w:line="640" w:lineRule="exact"/>
      <w:ind w:firstLine="0" w:firstLineChars="0"/>
      <w:jc w:val="center"/>
    </w:pPr>
    <w:rPr>
      <w:rFonts w:eastAsia="小标宋" w:cs="Times New Roman"/>
      <w:sz w:val="44"/>
      <w:szCs w:val="36"/>
    </w:rPr>
  </w:style>
  <w:style w:type="character" w:customStyle="1" w:styleId="155">
    <w:name w:val="Unresolved Mention"/>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1346</Words>
  <Characters>1408</Characters>
  <Lines>78</Lines>
  <Paragraphs>22</Paragraphs>
  <TotalTime>0</TotalTime>
  <ScaleCrop>false</ScaleCrop>
  <LinksUpToDate>false</LinksUpToDate>
  <CharactersWithSpaces>1412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2024-08-05T18:55:00Z</dcterms:created>
  <dc:creator>杨辉</dc:creator>
  <cp:lastModifiedBy>WPS_1528982113</cp:lastModifiedBy>
  <dcterms:modified xsi:type="dcterms:W3CDTF">2024-11-28T07:11:42Z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EF15DED365864E0785E7E6D63876CF27_13</vt:lpwstr>
  </property>
</Properties>
</file>