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72CEB">
      <w:pPr>
        <w:keepNext w:val="0"/>
        <w:keepLines w:val="0"/>
        <w:pageBreakBefore w:val="0"/>
        <w:widowControl w:val="0"/>
        <w:kinsoku/>
        <w:wordWrap/>
        <w:overflowPunct/>
        <w:topLinePunct w:val="0"/>
        <w:autoSpaceDE/>
        <w:autoSpaceDN/>
        <w:bidi w:val="0"/>
        <w:adjustRightInd/>
        <w:snapToGrid/>
        <w:spacing w:line="650" w:lineRule="exact"/>
        <w:textAlignment w:val="auto"/>
        <w:rPr>
          <w:rFonts w:ascii="仿宋_GB2312" w:eastAsia="仿宋_GB2312"/>
          <w:sz w:val="32"/>
          <w:szCs w:val="32"/>
        </w:rPr>
      </w:pPr>
    </w:p>
    <w:p w14:paraId="04F708AF">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仿宋_GB2312" w:eastAsia="仿宋_GB2312"/>
          <w:sz w:val="32"/>
          <w:szCs w:val="32"/>
        </w:rPr>
      </w:pPr>
    </w:p>
    <w:p w14:paraId="7CCC3912">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仿宋_GB2312" w:eastAsia="仿宋_GB2312"/>
          <w:sz w:val="32"/>
          <w:szCs w:val="32"/>
        </w:rPr>
      </w:pPr>
    </w:p>
    <w:p w14:paraId="6A2BF57A">
      <w:pPr>
        <w:keepNext w:val="0"/>
        <w:keepLines w:val="0"/>
        <w:pageBreakBefore w:val="0"/>
        <w:widowControl w:val="0"/>
        <w:kinsoku/>
        <w:wordWrap/>
        <w:overflowPunct/>
        <w:topLinePunct w:val="0"/>
        <w:autoSpaceDE/>
        <w:autoSpaceDN/>
        <w:bidi w:val="0"/>
        <w:adjustRightInd/>
        <w:snapToGrid/>
        <w:spacing w:line="650" w:lineRule="exact"/>
        <w:jc w:val="left"/>
        <w:textAlignment w:val="auto"/>
        <w:rPr>
          <w:rFonts w:hint="eastAsia" w:ascii="仿宋_GB2312" w:eastAsia="仿宋_GB2312"/>
          <w:sz w:val="32"/>
          <w:szCs w:val="32"/>
        </w:rPr>
      </w:pPr>
    </w:p>
    <w:p w14:paraId="397EF802">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仿宋_GB2312" w:eastAsia="仿宋_GB2312"/>
          <w:sz w:val="32"/>
          <w:szCs w:val="32"/>
        </w:rPr>
      </w:pPr>
    </w:p>
    <w:p w14:paraId="6428C012">
      <w:pPr>
        <w:keepNext w:val="0"/>
        <w:keepLines w:val="0"/>
        <w:pageBreakBefore w:val="0"/>
        <w:widowControl w:val="0"/>
        <w:tabs>
          <w:tab w:val="left" w:pos="6120"/>
        </w:tabs>
        <w:kinsoku/>
        <w:wordWrap/>
        <w:overflowPunct/>
        <w:topLinePunct w:val="0"/>
        <w:autoSpaceDE/>
        <w:autoSpaceDN/>
        <w:bidi w:val="0"/>
        <w:adjustRightInd/>
        <w:snapToGrid/>
        <w:spacing w:line="650" w:lineRule="exact"/>
        <w:textAlignment w:val="auto"/>
        <w:rPr>
          <w:rFonts w:hint="eastAsia" w:ascii="仿宋_GB2312" w:eastAsia="仿宋_GB2312"/>
          <w:sz w:val="32"/>
          <w:szCs w:val="32"/>
        </w:rPr>
      </w:pPr>
    </w:p>
    <w:p w14:paraId="4DF1FC81">
      <w:pPr>
        <w:keepNext w:val="0"/>
        <w:keepLines w:val="0"/>
        <w:pageBreakBefore w:val="0"/>
        <w:widowControl w:val="0"/>
        <w:tabs>
          <w:tab w:val="left" w:pos="8280"/>
          <w:tab w:val="left" w:pos="8460"/>
          <w:tab w:val="left" w:pos="8640"/>
        </w:tabs>
        <w:kinsoku/>
        <w:wordWrap/>
        <w:overflowPunct/>
        <w:topLinePunct w:val="0"/>
        <w:autoSpaceDE/>
        <w:autoSpaceDN/>
        <w:bidi w:val="0"/>
        <w:adjustRightInd/>
        <w:snapToGrid/>
        <w:spacing w:line="650" w:lineRule="exact"/>
        <w:ind w:right="80" w:rightChars="38"/>
        <w:jc w:val="both"/>
        <w:textAlignment w:val="auto"/>
        <w:rPr>
          <w:rFonts w:hint="eastAsia" w:ascii="仿宋" w:hAnsi="仿宋" w:eastAsia="仿宋"/>
          <w:sz w:val="32"/>
          <w:szCs w:val="32"/>
        </w:rPr>
      </w:pPr>
    </w:p>
    <w:p w14:paraId="517797CD">
      <w:pPr>
        <w:keepNext w:val="0"/>
        <w:keepLines w:val="0"/>
        <w:pageBreakBefore w:val="0"/>
        <w:widowControl w:val="0"/>
        <w:tabs>
          <w:tab w:val="left" w:pos="8280"/>
          <w:tab w:val="left" w:pos="8460"/>
          <w:tab w:val="left" w:pos="8640"/>
        </w:tabs>
        <w:kinsoku/>
        <w:wordWrap/>
        <w:overflowPunct/>
        <w:topLinePunct w:val="0"/>
        <w:autoSpaceDE/>
        <w:autoSpaceDN/>
        <w:bidi w:val="0"/>
        <w:adjustRightInd/>
        <w:snapToGrid/>
        <w:spacing w:line="650" w:lineRule="exact"/>
        <w:ind w:right="80" w:rightChars="38" w:firstLine="160" w:firstLineChars="50"/>
        <w:jc w:val="center"/>
        <w:textAlignment w:val="auto"/>
        <w:rPr>
          <w:rFonts w:hint="eastAsia" w:ascii="楷体" w:hAnsi="楷体" w:eastAsia="楷体"/>
          <w:sz w:val="32"/>
          <w:szCs w:val="32"/>
        </w:rPr>
      </w:pPr>
      <w:r>
        <w:rPr>
          <w:rFonts w:hint="eastAsia" w:ascii="仿宋" w:hAnsi="仿宋" w:eastAsia="仿宋"/>
          <w:sz w:val="32"/>
          <w:szCs w:val="32"/>
        </w:rPr>
        <w:t>晋市环发〔202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_GB2312" w:hAnsi="仿宋_GB2312" w:eastAsia="仿宋_GB2312" w:cs="仿宋_GB2312"/>
          <w:sz w:val="32"/>
          <w:szCs w:val="32"/>
          <w:lang w:val="en-US" w:eastAsia="zh-CN"/>
        </w:rPr>
        <w:t>115</w:t>
      </w:r>
      <w:r>
        <w:rPr>
          <w:rFonts w:hint="eastAsia" w:ascii="仿宋" w:hAnsi="仿宋" w:eastAsia="仿宋"/>
          <w:sz w:val="32"/>
          <w:szCs w:val="32"/>
        </w:rPr>
        <w:t>号</w:t>
      </w:r>
    </w:p>
    <w:p w14:paraId="3F7F96D3">
      <w:pPr>
        <w:pStyle w:val="2"/>
        <w:keepNext w:val="0"/>
        <w:keepLines w:val="0"/>
        <w:pageBreakBefore w:val="0"/>
        <w:kinsoku/>
        <w:wordWrap/>
        <w:overflowPunct/>
        <w:topLinePunct w:val="0"/>
        <w:autoSpaceDE/>
        <w:autoSpaceDN/>
        <w:bidi w:val="0"/>
        <w:adjustRightInd/>
        <w:snapToGrid/>
        <w:spacing w:line="660" w:lineRule="exact"/>
        <w:ind w:left="0" w:leftChars="0" w:firstLine="0" w:firstLineChars="0"/>
        <w:textAlignment w:val="auto"/>
        <w:rPr>
          <w:rFonts w:hint="eastAsia"/>
          <w:lang w:eastAsia="zh-CN"/>
        </w:rPr>
      </w:pPr>
    </w:p>
    <w:p w14:paraId="5F4A6F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晋城市生态环境局</w:t>
      </w:r>
    </w:p>
    <w:p w14:paraId="106AE9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关于持续深化“百日攻坚”冬季行动深入开展重大事故隐患专项排查整治行动的通知</w:t>
      </w:r>
    </w:p>
    <w:p w14:paraId="3D6769C8">
      <w:pPr>
        <w:rPr>
          <w:rFonts w:hint="eastAsia" w:ascii="仿宋_GB2312" w:hAnsi="仿宋_GB2312" w:eastAsia="仿宋_GB2312" w:cs="仿宋_GB2312"/>
          <w:sz w:val="32"/>
          <w:szCs w:val="32"/>
          <w:lang w:val="en-US" w:eastAsia="zh-CN"/>
        </w:rPr>
      </w:pPr>
    </w:p>
    <w:p w14:paraId="2825E410">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各县（市、区）分局、各相关科室：</w:t>
      </w:r>
    </w:p>
    <w:p w14:paraId="189916D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701" w:right="1474" w:bottom="1587" w:left="1531" w:header="851" w:footer="992" w:gutter="0"/>
          <w:pgNumType w:fmt="numberInDash" w:start="2"/>
          <w:cols w:space="425" w:num="1"/>
          <w:docGrid w:type="lines" w:linePitch="312" w:charSpace="0"/>
        </w:sectPr>
      </w:pPr>
      <w:r>
        <w:rPr>
          <w:rFonts w:hint="eastAsia" w:ascii="仿宋_GB2312" w:hAnsi="仿宋_GB2312" w:eastAsia="仿宋_GB2312" w:cs="仿宋_GB2312"/>
          <w:sz w:val="32"/>
          <w:szCs w:val="32"/>
          <w:lang w:val="en-US" w:eastAsia="zh-CN"/>
        </w:rPr>
        <w:t>为认真贯彻落实习近平总书记关于安全生产重要指示精神，</w:t>
      </w:r>
      <w:r>
        <w:rPr>
          <w:rFonts w:hint="default" w:ascii="仿宋_GB2312" w:hAnsi="仿宋_GB2312" w:eastAsia="仿宋_GB2312" w:cs="仿宋_GB2312"/>
          <w:sz w:val="32"/>
          <w:szCs w:val="32"/>
          <w:lang w:val="en-US" w:eastAsia="zh-CN"/>
        </w:rPr>
        <w:t>树牢安全发展理念，强化底线思维；深刻汲取吕梁市离石区永聚煤业办公楼“</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·16”重大火灾等事故教训，举一反三、引以为戒，</w:t>
      </w:r>
      <w:r>
        <w:rPr>
          <w:rFonts w:hint="eastAsia" w:ascii="仿宋_GB2312" w:hAnsi="仿宋_GB2312" w:eastAsia="仿宋_GB2312" w:cs="仿宋_GB2312"/>
          <w:sz w:val="32"/>
          <w:szCs w:val="32"/>
          <w:lang w:val="en-US" w:eastAsia="zh-CN"/>
        </w:rPr>
        <w:t>根据晋城市安全生产委员会《关于持续深化“百日攻坚”冬季行动深入开展重大事故隐患专项排查整治行动的通知》和市委常委会扩大会议暨持续深入开展重大事故隐患专项排查整治工作会议精神，经研究决定从即日起至2024</w:t>
      </w:r>
      <w:r>
        <w:rPr>
          <w:rFonts w:hint="default" w:ascii="仿宋_GB2312" w:hAnsi="仿宋_GB2312" w:eastAsia="仿宋_GB2312" w:cs="仿宋_GB2312"/>
          <w:sz w:val="32"/>
          <w:szCs w:val="32"/>
          <w:lang w:val="en-US" w:eastAsia="zh-CN"/>
        </w:rPr>
        <w:t>年2月底，</w:t>
      </w:r>
      <w:r>
        <w:rPr>
          <w:rFonts w:hint="eastAsia" w:ascii="仿宋_GB2312" w:hAnsi="仿宋_GB2312" w:eastAsia="仿宋_GB2312" w:cs="仿宋_GB2312"/>
          <w:sz w:val="32"/>
          <w:szCs w:val="32"/>
          <w:lang w:val="en-US" w:eastAsia="zh-CN"/>
        </w:rPr>
        <w:t>以集中开</w:t>
      </w:r>
    </w:p>
    <w:p w14:paraId="3129F393">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展安全意</w:t>
      </w:r>
      <w:r>
        <w:rPr>
          <w:rFonts w:hint="default" w:ascii="仿宋_GB2312" w:hAnsi="仿宋_GB2312" w:eastAsia="仿宋_GB2312" w:cs="仿宋_GB2312"/>
          <w:sz w:val="32"/>
          <w:szCs w:val="32"/>
          <w:lang w:val="en-US" w:eastAsia="zh-CN"/>
        </w:rPr>
        <w:t>识大教育活动、安全责任大落实活动、安全隐患大排查活动、安全问题大整治活动、重点时段大治理活动为抓手，持续推进</w:t>
      </w:r>
      <w:r>
        <w:rPr>
          <w:rFonts w:hint="eastAsia" w:ascii="仿宋_GB2312" w:hAnsi="仿宋_GB2312" w:eastAsia="仿宋_GB2312" w:cs="仿宋_GB2312"/>
          <w:sz w:val="32"/>
          <w:szCs w:val="32"/>
          <w:lang w:val="en-US" w:eastAsia="zh-CN"/>
        </w:rPr>
        <w:t>危险废物领域</w:t>
      </w:r>
      <w:r>
        <w:rPr>
          <w:rFonts w:hint="default" w:ascii="仿宋_GB2312" w:hAnsi="仿宋_GB2312" w:eastAsia="仿宋_GB2312" w:cs="仿宋_GB2312"/>
          <w:sz w:val="32"/>
          <w:szCs w:val="32"/>
          <w:lang w:val="en-US" w:eastAsia="zh-CN"/>
        </w:rPr>
        <w:t>安全“百日攻坚”冬季行动“五大攻坚战”，进一步深化重大事故隐患专项排查整治行动，坚决遏制各类重特大</w:t>
      </w:r>
      <w:r>
        <w:rPr>
          <w:rFonts w:hint="eastAsia" w:ascii="仿宋_GB2312" w:hAnsi="仿宋_GB2312" w:eastAsia="仿宋_GB2312" w:cs="仿宋_GB2312"/>
          <w:sz w:val="32"/>
          <w:szCs w:val="32"/>
          <w:lang w:val="en-US" w:eastAsia="zh-CN"/>
        </w:rPr>
        <w:t>环境</w:t>
      </w:r>
      <w:r>
        <w:rPr>
          <w:rFonts w:hint="default" w:ascii="仿宋_GB2312" w:hAnsi="仿宋_GB2312" w:eastAsia="仿宋_GB2312" w:cs="仿宋_GB2312"/>
          <w:sz w:val="32"/>
          <w:szCs w:val="32"/>
          <w:lang w:val="en-US" w:eastAsia="zh-CN"/>
        </w:rPr>
        <w:t>安全事故。现就有关事项通知如下：</w:t>
      </w:r>
    </w:p>
    <w:p w14:paraId="022C9662">
      <w:pPr>
        <w:keepNext w:val="0"/>
        <w:keepLines w:val="0"/>
        <w:pageBreakBefore w:val="0"/>
        <w:widowControl/>
        <w:suppressLineNumbers w:val="0"/>
        <w:kinsoku/>
        <w:wordWrap/>
        <w:overflowPunct/>
        <w:topLinePunct w:val="0"/>
        <w:autoSpaceDE/>
        <w:autoSpaceDN/>
        <w:bidi w:val="0"/>
        <w:adjustRightInd/>
        <w:snapToGrid/>
        <w:spacing w:line="580" w:lineRule="exact"/>
        <w:ind w:firstLine="616" w:firstLineChars="200"/>
        <w:jc w:val="left"/>
        <w:textAlignment w:val="auto"/>
        <w:rPr>
          <w:spacing w:val="-6"/>
          <w:sz w:val="32"/>
          <w:szCs w:val="32"/>
        </w:rPr>
      </w:pPr>
      <w:r>
        <w:rPr>
          <w:rFonts w:ascii="黑体" w:hAnsi="宋体" w:eastAsia="黑体" w:cs="黑体"/>
          <w:color w:val="000000"/>
          <w:spacing w:val="-6"/>
          <w:kern w:val="0"/>
          <w:sz w:val="32"/>
          <w:szCs w:val="32"/>
          <w:lang w:val="en-US" w:eastAsia="zh-CN" w:bidi="ar"/>
        </w:rPr>
        <w:t>一、开展安全意识大教育活动，稳步推进应急能力提升攻坚战</w:t>
      </w:r>
    </w:p>
    <w:p w14:paraId="6C770304">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（一）组织宣传教育。一是</w:t>
      </w:r>
      <w:r>
        <w:rPr>
          <w:rFonts w:hint="eastAsia" w:ascii="仿宋_GB2312" w:hAnsi="仿宋_GB2312" w:eastAsia="仿宋_GB2312" w:cs="仿宋_GB2312"/>
          <w:color w:val="000000"/>
          <w:kern w:val="0"/>
          <w:sz w:val="32"/>
          <w:szCs w:val="32"/>
          <w:lang w:val="en-US" w:eastAsia="zh-CN" w:bidi="ar"/>
        </w:rPr>
        <w:t>党组理论学习中心组要深入学习习近平总书记近三年来对生产安全事故重要指示和有关安全生产重要论述，班子成员对照要求和职责谈体会、找差距。</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召开全局安全生产警示教育大会，收集制作并免费发放典型事故案例警示教育片，组织集中观看。</w:t>
      </w: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color w:val="000000"/>
          <w:kern w:val="0"/>
          <w:sz w:val="32"/>
          <w:szCs w:val="32"/>
          <w:lang w:val="en-US" w:eastAsia="zh-CN" w:bidi="ar"/>
        </w:rPr>
        <w:t>组织开展安全生产和消防宣传“五进”活动，在主流媒体开设专题专栏；各分局要充分利用各类宣传媒介和载体开展风险防范、隐患排查、应急处置和自救互救等安全常识宣传，提升全民安全意识。</w:t>
      </w:r>
    </w:p>
    <w:p w14:paraId="0C16AB3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eastAsia" w:ascii="仿宋_GB2312" w:hAnsi="仿宋_GB2312" w:eastAsia="仿宋_GB2312" w:cs="仿宋_GB2312"/>
          <w:b/>
          <w:bCs/>
          <w:color w:val="000000"/>
          <w:kern w:val="0"/>
          <w:sz w:val="32"/>
          <w:szCs w:val="32"/>
          <w:lang w:val="en-US" w:eastAsia="zh-CN" w:bidi="ar"/>
        </w:rPr>
        <w:t>（二）开展专题培训。一是</w:t>
      </w:r>
      <w:r>
        <w:rPr>
          <w:rFonts w:hint="eastAsia" w:ascii="仿宋_GB2312" w:hAnsi="仿宋_GB2312" w:eastAsia="仿宋_GB2312" w:cs="仿宋_GB2312"/>
          <w:color w:val="000000"/>
          <w:kern w:val="0"/>
          <w:sz w:val="32"/>
          <w:szCs w:val="32"/>
          <w:lang w:val="en-US" w:eastAsia="zh-CN" w:bidi="ar"/>
        </w:rPr>
        <w:t>市局及各分局要分别组织各级党政领导、监管执法人员、干部职工开展不少于一天的安全生产知识和技能培训。</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市局负责组织单位全体干部职工进行火灾防范专题教育培训，各县（市、区）分局重点组织各生产经营单位主要负责人、分管安全负责人、本单位全体干部职工进行火灾防范专题教育培训。</w:t>
      </w: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color w:val="000000"/>
          <w:kern w:val="0"/>
          <w:sz w:val="32"/>
          <w:szCs w:val="32"/>
          <w:lang w:val="en-US" w:eastAsia="zh-CN" w:bidi="ar"/>
        </w:rPr>
        <w:t>要指导生产经营单位开展有限空间作业负责人、监护人员、作业人员、应急救援人员和临时工、外包单位人员的教育培训，包括初次教育、年度再培训教育等。要确保培训时间、内容、参训人员考勤签字、教师授课等记录与实际相一致。</w:t>
      </w:r>
      <w:r>
        <w:rPr>
          <w:rFonts w:hint="eastAsia" w:ascii="仿宋_GB2312" w:hAnsi="仿宋_GB2312"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（三）加强应急演练和预案管理</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color w:val="000000"/>
          <w:kern w:val="0"/>
          <w:sz w:val="32"/>
          <w:szCs w:val="32"/>
          <w:lang w:val="en-US" w:eastAsia="zh-CN" w:bidi="ar"/>
        </w:rPr>
        <w:t>要针对本单位易发事故种类，组织开展疏散逃生和应急救援演练，熟悉应急逃生疏散通道，提升干部职工自救互救能力。</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要按照分级分类监管要求和《山西省企业事业单位突发环境事件应急预案备案行业名录（试行）》，强化所辖企业突发环境事件应急预案备案，依法查处未按要求编制或修订突发环境事件应急预案的企事业单位，责令其限期完成应急预案备案工作。</w:t>
      </w: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color w:val="000000"/>
          <w:kern w:val="0"/>
          <w:sz w:val="32"/>
          <w:szCs w:val="32"/>
          <w:lang w:val="en-US" w:eastAsia="zh-CN" w:bidi="ar"/>
        </w:rPr>
        <w:t>各生产经营单位要建立事故预警、应急值守、信息报</w:t>
      </w:r>
      <w:r>
        <w:rPr>
          <w:rFonts w:hint="default" w:ascii="仿宋_GB2312" w:hAnsi="仿宋_GB2312" w:eastAsia="仿宋_GB2312" w:cs="仿宋_GB2312"/>
          <w:color w:val="000000"/>
          <w:kern w:val="0"/>
          <w:sz w:val="32"/>
          <w:szCs w:val="32"/>
          <w:lang w:val="en-US" w:eastAsia="zh-CN" w:bidi="ar"/>
        </w:rPr>
        <w:t>告、现场处置、应急投入、救援装备和物资储备等规章制度；</w:t>
      </w:r>
      <w:r>
        <w:rPr>
          <w:rFonts w:hint="eastAsia" w:ascii="仿宋_GB2312" w:hAnsi="仿宋_GB2312" w:eastAsia="仿宋_GB2312" w:cs="仿宋_GB2312"/>
          <w:color w:val="000000"/>
          <w:kern w:val="0"/>
          <w:sz w:val="32"/>
          <w:szCs w:val="32"/>
          <w:lang w:val="en-US" w:eastAsia="zh-CN" w:bidi="ar"/>
        </w:rPr>
        <w:t>按时开展突发环境事件应急演练</w:t>
      </w:r>
      <w:r>
        <w:rPr>
          <w:rFonts w:hint="default" w:ascii="仿宋_GB2312" w:hAnsi="仿宋_GB2312" w:eastAsia="仿宋_GB2312" w:cs="仿宋_GB2312"/>
          <w:color w:val="000000"/>
          <w:kern w:val="0"/>
          <w:sz w:val="32"/>
          <w:szCs w:val="32"/>
          <w:lang w:val="en-US" w:eastAsia="zh-CN" w:bidi="ar"/>
        </w:rPr>
        <w:t>；高危企业每半年至少演练一次；其他企业每年至少演练一</w:t>
      </w:r>
      <w:r>
        <w:rPr>
          <w:rFonts w:hint="default" w:ascii="FZFangSong-Z02S" w:hAnsi="FZFangSong-Z02S" w:eastAsia="FZFangSong-Z02S" w:cs="FZFangSong-Z02S"/>
          <w:color w:val="000000"/>
          <w:kern w:val="0"/>
          <w:sz w:val="31"/>
          <w:szCs w:val="31"/>
          <w:lang w:val="en-US" w:eastAsia="zh-CN" w:bidi="ar"/>
        </w:rPr>
        <w:t>次</w:t>
      </w:r>
      <w:r>
        <w:rPr>
          <w:rFonts w:hint="eastAsia" w:ascii="FZFangSong-Z02S" w:hAnsi="FZFangSong-Z02S" w:eastAsia="FZFangSong-Z02S" w:cs="FZFangSong-Z02S"/>
          <w:color w:val="000000"/>
          <w:kern w:val="0"/>
          <w:sz w:val="31"/>
          <w:szCs w:val="31"/>
          <w:lang w:val="en-US" w:eastAsia="zh-CN" w:bidi="ar"/>
        </w:rPr>
        <w:t>。</w:t>
      </w:r>
    </w:p>
    <w:p w14:paraId="58EDBAB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（四）夯实基础建设。</w:t>
      </w:r>
      <w:r>
        <w:rPr>
          <w:rFonts w:hint="eastAsia" w:ascii="仿宋_GB2312" w:hAnsi="仿宋_GB2312" w:eastAsia="仿宋_GB2312" w:cs="仿宋_GB2312"/>
          <w:color w:val="000000"/>
          <w:kern w:val="0"/>
          <w:sz w:val="32"/>
          <w:szCs w:val="32"/>
          <w:lang w:val="en-US" w:eastAsia="zh-CN" w:bidi="ar"/>
        </w:rPr>
        <w:t>要</w:t>
      </w:r>
      <w:r>
        <w:rPr>
          <w:rFonts w:hint="default" w:ascii="仿宋_GB2312" w:hAnsi="仿宋_GB2312" w:eastAsia="仿宋_GB2312" w:cs="仿宋_GB2312"/>
          <w:color w:val="000000"/>
          <w:kern w:val="0"/>
          <w:sz w:val="32"/>
          <w:szCs w:val="32"/>
          <w:lang w:val="en-US" w:eastAsia="zh-CN" w:bidi="ar"/>
        </w:rPr>
        <w:t>明确相关</w:t>
      </w:r>
      <w:r>
        <w:rPr>
          <w:rFonts w:hint="eastAsia" w:ascii="仿宋_GB2312" w:hAnsi="仿宋_GB2312" w:eastAsia="仿宋_GB2312" w:cs="仿宋_GB2312"/>
          <w:color w:val="000000"/>
          <w:kern w:val="0"/>
          <w:sz w:val="32"/>
          <w:szCs w:val="32"/>
          <w:lang w:val="en-US" w:eastAsia="zh-CN" w:bidi="ar"/>
        </w:rPr>
        <w:t>单位</w:t>
      </w:r>
      <w:r>
        <w:rPr>
          <w:rFonts w:hint="default" w:ascii="仿宋_GB2312" w:hAnsi="仿宋_GB2312" w:eastAsia="仿宋_GB2312" w:cs="仿宋_GB2312"/>
          <w:color w:val="000000"/>
          <w:kern w:val="0"/>
          <w:sz w:val="32"/>
          <w:szCs w:val="32"/>
          <w:lang w:val="en-US" w:eastAsia="zh-CN" w:bidi="ar"/>
        </w:rPr>
        <w:t>、人员</w:t>
      </w:r>
      <w:r>
        <w:rPr>
          <w:rFonts w:hint="eastAsia" w:ascii="仿宋_GB2312" w:hAnsi="仿宋_GB2312" w:eastAsia="仿宋_GB2312" w:cs="仿宋_GB2312"/>
          <w:color w:val="000000"/>
          <w:kern w:val="0"/>
          <w:sz w:val="32"/>
          <w:szCs w:val="32"/>
          <w:lang w:val="en-US" w:eastAsia="zh-CN" w:bidi="ar"/>
        </w:rPr>
        <w:t>防火、防汛、地质灾害、生产安全事故、交通运输事故等</w:t>
      </w:r>
      <w:r>
        <w:rPr>
          <w:rFonts w:hint="default" w:ascii="仿宋_GB2312" w:hAnsi="仿宋_GB2312" w:eastAsia="仿宋_GB2312" w:cs="仿宋_GB2312"/>
          <w:color w:val="000000"/>
          <w:kern w:val="0"/>
          <w:sz w:val="32"/>
          <w:szCs w:val="32"/>
          <w:lang w:val="en-US" w:eastAsia="zh-CN" w:bidi="ar"/>
        </w:rPr>
        <w:t>应急职责、工作流程。</w:t>
      </w:r>
    </w:p>
    <w:p w14:paraId="651E8038">
      <w:pPr>
        <w:keepNext w:val="0"/>
        <w:keepLines w:val="0"/>
        <w:pageBreakBefore w:val="0"/>
        <w:widowControl/>
        <w:suppressLineNumbers w:val="0"/>
        <w:kinsoku/>
        <w:wordWrap/>
        <w:overflowPunct/>
        <w:topLinePunct w:val="0"/>
        <w:autoSpaceDE/>
        <w:autoSpaceDN/>
        <w:bidi w:val="0"/>
        <w:adjustRightInd/>
        <w:snapToGrid/>
        <w:spacing w:line="580" w:lineRule="exact"/>
        <w:ind w:firstLine="616" w:firstLineChars="200"/>
        <w:jc w:val="left"/>
        <w:textAlignment w:val="auto"/>
        <w:rPr>
          <w:rFonts w:ascii="黑体" w:hAnsi="宋体" w:eastAsia="黑体" w:cs="黑体"/>
          <w:color w:val="000000"/>
          <w:spacing w:val="-6"/>
          <w:kern w:val="0"/>
          <w:sz w:val="32"/>
          <w:szCs w:val="32"/>
          <w:lang w:val="en-US" w:eastAsia="zh-CN" w:bidi="ar"/>
        </w:rPr>
      </w:pPr>
      <w:r>
        <w:rPr>
          <w:rFonts w:hint="eastAsia" w:ascii="黑体" w:hAnsi="宋体" w:eastAsia="黑体" w:cs="黑体"/>
          <w:color w:val="000000"/>
          <w:spacing w:val="-6"/>
          <w:kern w:val="0"/>
          <w:sz w:val="32"/>
          <w:szCs w:val="32"/>
          <w:lang w:val="en-US" w:eastAsia="zh-CN" w:bidi="ar"/>
        </w:rPr>
        <w:t>二、开展安全责任大落实活动，切实强化安全责任落实攻坚战</w:t>
      </w:r>
    </w:p>
    <w:p w14:paraId="734D26AF">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（一）严格落实党政领导责任。</w:t>
      </w:r>
      <w:r>
        <w:rPr>
          <w:rFonts w:hint="default" w:ascii="仿宋_GB2312" w:hAnsi="仿宋_GB2312" w:eastAsia="仿宋_GB2312" w:cs="仿宋_GB2312"/>
          <w:b/>
          <w:bCs/>
          <w:color w:val="000000"/>
          <w:kern w:val="0"/>
          <w:sz w:val="32"/>
          <w:szCs w:val="32"/>
          <w:lang w:val="en-US" w:eastAsia="zh-CN" w:bidi="ar"/>
        </w:rPr>
        <w:t>一是</w:t>
      </w:r>
      <w:r>
        <w:rPr>
          <w:rFonts w:hint="default" w:ascii="仿宋_GB2312" w:hAnsi="仿宋_GB2312" w:eastAsia="仿宋_GB2312" w:cs="仿宋_GB2312"/>
          <w:color w:val="000000"/>
          <w:kern w:val="0"/>
          <w:sz w:val="32"/>
          <w:szCs w:val="32"/>
          <w:lang w:val="en-US" w:eastAsia="zh-CN" w:bidi="ar"/>
        </w:rPr>
        <w:t>各级党政领导干部要对照安全生产“职责清单”和年度重点工作“任务清单”检视履职情况，并向党</w:t>
      </w:r>
      <w:r>
        <w:rPr>
          <w:rFonts w:hint="eastAsia" w:ascii="仿宋_GB2312" w:hAnsi="仿宋_GB2312" w:eastAsia="仿宋_GB2312" w:cs="仿宋_GB2312"/>
          <w:color w:val="000000"/>
          <w:kern w:val="0"/>
          <w:sz w:val="32"/>
          <w:szCs w:val="32"/>
          <w:lang w:val="en-US" w:eastAsia="zh-CN" w:bidi="ar"/>
        </w:rPr>
        <w:t>组</w:t>
      </w:r>
      <w:r>
        <w:rPr>
          <w:rFonts w:hint="default" w:ascii="仿宋_GB2312" w:hAnsi="仿宋_GB2312" w:eastAsia="仿宋_GB2312" w:cs="仿宋_GB2312"/>
          <w:color w:val="000000"/>
          <w:kern w:val="0"/>
          <w:sz w:val="32"/>
          <w:szCs w:val="32"/>
          <w:lang w:val="en-US" w:eastAsia="zh-CN" w:bidi="ar"/>
        </w:rPr>
        <w:t>主要负责同志进行安全生产履职情况述职</w:t>
      </w:r>
      <w:r>
        <w:rPr>
          <w:rFonts w:hint="default" w:ascii="FZFangSong-Z02S" w:hAnsi="FZFangSong-Z02S" w:eastAsia="FZFangSong-Z02S" w:cs="FZFangSong-Z02S"/>
          <w:color w:val="000000"/>
          <w:kern w:val="0"/>
          <w:sz w:val="31"/>
          <w:szCs w:val="31"/>
          <w:lang w:val="en-US" w:eastAsia="zh-CN" w:bidi="ar"/>
        </w:rPr>
        <w:t>，</w:t>
      </w:r>
      <w:r>
        <w:rPr>
          <w:rFonts w:hint="eastAsia" w:ascii="仿宋_GB2312" w:hAnsi="仿宋_GB2312" w:eastAsia="仿宋_GB2312" w:cs="仿宋_GB2312"/>
          <w:color w:val="000000"/>
          <w:kern w:val="0"/>
          <w:sz w:val="32"/>
          <w:szCs w:val="32"/>
          <w:lang w:val="en-US" w:eastAsia="zh-CN" w:bidi="ar"/>
        </w:rPr>
        <w:t>党组</w:t>
      </w:r>
      <w:r>
        <w:rPr>
          <w:rFonts w:hint="default" w:ascii="仿宋_GB2312" w:hAnsi="仿宋_GB2312" w:eastAsia="仿宋_GB2312" w:cs="仿宋_GB2312"/>
          <w:color w:val="000000"/>
          <w:kern w:val="0"/>
          <w:sz w:val="32"/>
          <w:szCs w:val="32"/>
          <w:lang w:val="en-US" w:eastAsia="zh-CN" w:bidi="ar"/>
        </w:rPr>
        <w:t>主要负责同志要对班子成员履职情况进行考核评定。</w:t>
      </w:r>
    </w:p>
    <w:p w14:paraId="0AFAAB2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（二）压紧压实部门监管责任。</w:t>
      </w:r>
      <w:r>
        <w:rPr>
          <w:rFonts w:hint="default" w:ascii="仿宋_GB2312" w:hAnsi="仿宋_GB2312" w:eastAsia="仿宋_GB2312" w:cs="仿宋_GB2312"/>
          <w:b/>
          <w:bCs/>
          <w:color w:val="000000"/>
          <w:kern w:val="0"/>
          <w:sz w:val="32"/>
          <w:szCs w:val="32"/>
          <w:lang w:val="en-US" w:eastAsia="zh-CN" w:bidi="ar"/>
        </w:rPr>
        <w:t>一是</w:t>
      </w:r>
      <w:r>
        <w:rPr>
          <w:rFonts w:hint="default" w:ascii="仿宋_GB2312" w:hAnsi="仿宋_GB2312" w:eastAsia="仿宋_GB2312" w:cs="仿宋_GB2312"/>
          <w:color w:val="000000"/>
          <w:kern w:val="0"/>
          <w:sz w:val="32"/>
          <w:szCs w:val="32"/>
          <w:lang w:val="en-US" w:eastAsia="zh-CN" w:bidi="ar"/>
        </w:rPr>
        <w:t>健全完善联合执法工作机制，由各行业领域主管部门组织各相关单位对问题隐患突出的重点单位组织开展联合执法检查。</w:t>
      </w:r>
      <w:r>
        <w:rPr>
          <w:rFonts w:hint="default" w:ascii="仿宋_GB2312" w:hAnsi="仿宋_GB2312" w:eastAsia="仿宋_GB2312" w:cs="仿宋_GB2312"/>
          <w:b/>
          <w:bCs/>
          <w:color w:val="000000"/>
          <w:kern w:val="0"/>
          <w:sz w:val="32"/>
          <w:szCs w:val="32"/>
          <w:lang w:val="en-US" w:eastAsia="zh-CN" w:bidi="ar"/>
        </w:rPr>
        <w:t>二是</w:t>
      </w:r>
      <w:r>
        <w:rPr>
          <w:rFonts w:hint="default" w:ascii="仿宋_GB2312" w:hAnsi="仿宋_GB2312" w:eastAsia="仿宋_GB2312" w:cs="仿宋_GB2312"/>
          <w:color w:val="000000"/>
          <w:kern w:val="0"/>
          <w:sz w:val="32"/>
          <w:szCs w:val="32"/>
          <w:lang w:val="en-US" w:eastAsia="zh-CN" w:bidi="ar"/>
        </w:rPr>
        <w:t>加大暗查暗访、突击检查力度，借鉴生态环境保护督察经验，对违法行为和重大事故隐患现场录制影像资料，进行公开曝光，依法从严查处，形成震慑。</w:t>
      </w:r>
      <w:r>
        <w:rPr>
          <w:rFonts w:hint="default" w:ascii="仿宋_GB2312" w:hAnsi="仿宋_GB2312" w:eastAsia="仿宋_GB2312" w:cs="仿宋_GB2312"/>
          <w:b/>
          <w:bCs/>
          <w:color w:val="000000"/>
          <w:kern w:val="0"/>
          <w:sz w:val="32"/>
          <w:szCs w:val="32"/>
          <w:lang w:val="en-US" w:eastAsia="zh-CN" w:bidi="ar"/>
        </w:rPr>
        <w:t>三是</w:t>
      </w:r>
      <w:r>
        <w:rPr>
          <w:rFonts w:hint="default" w:ascii="仿宋_GB2312" w:hAnsi="仿宋_GB2312" w:eastAsia="仿宋_GB2312" w:cs="仿宋_GB2312"/>
          <w:color w:val="000000"/>
          <w:kern w:val="0"/>
          <w:sz w:val="32"/>
          <w:szCs w:val="32"/>
          <w:lang w:val="en-US" w:eastAsia="zh-CN" w:bidi="ar"/>
        </w:rPr>
        <w:t>加大执法力度，对执法检查发现的重大事故隐患和突出问题，依法实施限期整改、停产整顿、关闭取缔以及主要负责人和企业“一案双罚”等措施，坚持关口前移，对发现的瓦斯超限等极易引发事故的重大隐患，比照事故进行调查处理。</w:t>
      </w:r>
      <w:r>
        <w:rPr>
          <w:rFonts w:hint="default" w:ascii="仿宋_GB2312" w:hAnsi="仿宋_GB2312" w:eastAsia="仿宋_GB2312" w:cs="仿宋_GB2312"/>
          <w:b/>
          <w:bCs/>
          <w:color w:val="000000"/>
          <w:kern w:val="0"/>
          <w:sz w:val="32"/>
          <w:szCs w:val="32"/>
          <w:lang w:val="en-US" w:eastAsia="zh-CN" w:bidi="ar"/>
        </w:rPr>
        <w:t>四是</w:t>
      </w:r>
      <w:r>
        <w:rPr>
          <w:rFonts w:hint="default" w:ascii="仿宋_GB2312" w:hAnsi="仿宋_GB2312" w:eastAsia="仿宋_GB2312" w:cs="仿宋_GB2312"/>
          <w:color w:val="000000"/>
          <w:kern w:val="0"/>
          <w:sz w:val="32"/>
          <w:szCs w:val="32"/>
          <w:lang w:val="en-US" w:eastAsia="zh-CN" w:bidi="ar"/>
        </w:rPr>
        <w:t xml:space="preserve">强化专家技术支撑，各级监管部门要带领专家团队，深入企业一线开展精查细查，指导帮助企业制定整改方案，强化问题跟踪整治。 </w:t>
      </w:r>
    </w:p>
    <w:p w14:paraId="1D33F50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（三）坚决砸实企业主体责任。</w:t>
      </w:r>
      <w:r>
        <w:rPr>
          <w:rFonts w:hint="default" w:ascii="仿宋_GB2312" w:hAnsi="仿宋_GB2312" w:eastAsia="仿宋_GB2312" w:cs="仿宋_GB2312"/>
          <w:b/>
          <w:bCs/>
          <w:color w:val="000000"/>
          <w:kern w:val="0"/>
          <w:sz w:val="32"/>
          <w:szCs w:val="32"/>
          <w:lang w:val="en-US" w:eastAsia="zh-CN" w:bidi="ar"/>
        </w:rPr>
        <w:t>一是</w:t>
      </w:r>
      <w:r>
        <w:rPr>
          <w:rFonts w:hint="default" w:ascii="仿宋_GB2312" w:hAnsi="仿宋_GB2312" w:eastAsia="仿宋_GB2312" w:cs="仿宋_GB2312"/>
          <w:color w:val="000000"/>
          <w:kern w:val="0"/>
          <w:sz w:val="32"/>
          <w:szCs w:val="32"/>
          <w:lang w:val="en-US" w:eastAsia="zh-CN" w:bidi="ar"/>
        </w:rPr>
        <w:t>强化主要负责人第一责任，全面落实</w:t>
      </w:r>
      <w:bookmarkStart w:id="0" w:name="_GoBack"/>
      <w:bookmarkEnd w:id="0"/>
      <w:r>
        <w:rPr>
          <w:rFonts w:hint="eastAsia" w:ascii="仿宋_GB2312" w:hAnsi="仿宋_GB2312" w:eastAsia="仿宋_GB2312" w:cs="仿宋_GB2312"/>
          <w:color w:val="000000"/>
          <w:kern w:val="0"/>
          <w:sz w:val="32"/>
          <w:szCs w:val="32"/>
          <w:lang w:val="en-US" w:eastAsia="zh-CN" w:bidi="ar"/>
        </w:rPr>
        <w:t>《中华人民共和国安全生产法》</w:t>
      </w:r>
      <w:r>
        <w:rPr>
          <w:rFonts w:hint="default" w:ascii="仿宋_GB2312" w:hAnsi="仿宋_GB2312" w:eastAsia="仿宋_GB2312" w:cs="仿宋_GB2312"/>
          <w:color w:val="000000"/>
          <w:kern w:val="0"/>
          <w:sz w:val="32"/>
          <w:szCs w:val="32"/>
          <w:lang w:val="en-US" w:eastAsia="zh-CN" w:bidi="ar"/>
        </w:rPr>
        <w:t>七项职责以及安全生产责任制规定、主要负责人承诺制内容，开展自查检视，及时查漏补缺，检视整改情况报主管部门备案。</w:t>
      </w:r>
      <w:r>
        <w:rPr>
          <w:rFonts w:hint="default" w:ascii="仿宋_GB2312" w:hAnsi="仿宋_GB2312" w:eastAsia="仿宋_GB2312" w:cs="仿宋_GB2312"/>
          <w:b/>
          <w:bCs/>
          <w:color w:val="000000"/>
          <w:kern w:val="0"/>
          <w:sz w:val="32"/>
          <w:szCs w:val="32"/>
          <w:lang w:val="en-US" w:eastAsia="zh-CN" w:bidi="ar"/>
        </w:rPr>
        <w:t>二是</w:t>
      </w:r>
      <w:r>
        <w:rPr>
          <w:rFonts w:hint="default" w:ascii="仿宋_GB2312" w:hAnsi="仿宋_GB2312" w:eastAsia="仿宋_GB2312" w:cs="仿宋_GB2312"/>
          <w:color w:val="000000"/>
          <w:kern w:val="0"/>
          <w:sz w:val="32"/>
          <w:szCs w:val="32"/>
          <w:lang w:val="en-US" w:eastAsia="zh-CN" w:bidi="ar"/>
        </w:rPr>
        <w:t>突出管理团队安全责任落实，组织制定并督促落实企业各负责人安全生产职责清单和本次专项行动工作清单，对查出的风险隐患，要建立健全整改台账，重大事故隐患由主要负责人领衔整治，并报告属地监管部门纳入跟踪督办；建立健全风险分级管控和隐患排查治理双重预防机制，全面开展安全风险辨识、评估，严格落实分级分类管控措施，绘制风险“四色图”，实施清单管理和风险告知。</w:t>
      </w:r>
      <w:r>
        <w:rPr>
          <w:rFonts w:hint="default" w:ascii="仿宋_GB2312" w:hAnsi="仿宋_GB2312" w:eastAsia="仿宋_GB2312" w:cs="仿宋_GB2312"/>
          <w:b/>
          <w:bCs/>
          <w:color w:val="000000"/>
          <w:kern w:val="0"/>
          <w:sz w:val="32"/>
          <w:szCs w:val="32"/>
          <w:lang w:val="en-US" w:eastAsia="zh-CN" w:bidi="ar"/>
        </w:rPr>
        <w:t>三是</w:t>
      </w:r>
      <w:r>
        <w:rPr>
          <w:rFonts w:hint="default" w:ascii="仿宋_GB2312" w:hAnsi="仿宋_GB2312" w:eastAsia="仿宋_GB2312" w:cs="仿宋_GB2312"/>
          <w:color w:val="000000"/>
          <w:kern w:val="0"/>
          <w:sz w:val="32"/>
          <w:szCs w:val="32"/>
          <w:lang w:val="en-US" w:eastAsia="zh-CN" w:bidi="ar"/>
        </w:rPr>
        <w:t>健全完善并公示全员安全生产责任制，将全员安全生产责任制教育培训工作纳入年度培训计划，加强全员安全生产责任制落实情况考核管理。四是强化安全生产投入保障，将安全生产费用计入生产成本，由生产经营单位自提自用、专户核算。</w:t>
      </w:r>
    </w:p>
    <w:p w14:paraId="64EF2E2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（四）严格严肃追责问责。</w:t>
      </w:r>
      <w:r>
        <w:rPr>
          <w:rFonts w:hint="default" w:ascii="仿宋_GB2312" w:hAnsi="仿宋_GB2312" w:eastAsia="仿宋_GB2312" w:cs="仿宋_GB2312"/>
          <w:color w:val="000000"/>
          <w:kern w:val="0"/>
          <w:sz w:val="32"/>
          <w:szCs w:val="32"/>
          <w:lang w:val="en-US" w:eastAsia="zh-CN" w:bidi="ar"/>
        </w:rPr>
        <w:t>树立“严管就是厚爱”的鲜明导向，坚持“动员千遍不如问责一次”。一是对安全发展理念树的不牢、责任落实不到位、隐患排查整治不力，以及工作滞后、推诿扯皮、敷衍塞责的，进行曝光、通报、约谈。二是对非法违法生产经营建设行为和重大事故隐患，存在应发现未发现、应处罚未处罚等执法“放水”行为的，要移送纪委监委、组织、公安等部门追责问责。三是对不认真履行职责，发生较大以上生产安全事故的，不仅要追究直接责任人责任，而且要追究地方党委和政府领导责任、有关部门的监管责任。</w:t>
      </w:r>
    </w:p>
    <w:p w14:paraId="4FF2812F">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（五）明确新兴领域和重点领域监管责任。</w:t>
      </w:r>
      <w:r>
        <w:rPr>
          <w:rFonts w:hint="default" w:ascii="仿宋_GB2312" w:hAnsi="仿宋_GB2312" w:eastAsia="仿宋_GB2312" w:cs="仿宋_GB2312"/>
          <w:color w:val="000000"/>
          <w:kern w:val="0"/>
          <w:sz w:val="32"/>
          <w:szCs w:val="32"/>
          <w:lang w:val="en-US" w:eastAsia="zh-CN" w:bidi="ar"/>
        </w:rPr>
        <w:t>一是各县（市、区）</w:t>
      </w:r>
      <w:r>
        <w:rPr>
          <w:rFonts w:hint="eastAsia" w:ascii="仿宋_GB2312" w:hAnsi="仿宋_GB2312" w:eastAsia="仿宋_GB2312" w:cs="仿宋_GB2312"/>
          <w:color w:val="000000"/>
          <w:kern w:val="0"/>
          <w:sz w:val="32"/>
          <w:szCs w:val="32"/>
          <w:lang w:val="en-US" w:eastAsia="zh-CN" w:bidi="ar"/>
        </w:rPr>
        <w:t>分局、市局各相关科室单位</w:t>
      </w:r>
      <w:r>
        <w:rPr>
          <w:rFonts w:hint="default" w:ascii="仿宋_GB2312" w:hAnsi="仿宋_GB2312" w:eastAsia="仿宋_GB2312" w:cs="仿宋_GB2312"/>
          <w:color w:val="000000"/>
          <w:kern w:val="0"/>
          <w:sz w:val="32"/>
          <w:szCs w:val="32"/>
          <w:lang w:val="en-US" w:eastAsia="zh-CN" w:bidi="ar"/>
        </w:rPr>
        <w:t>要结合</w:t>
      </w:r>
      <w:r>
        <w:rPr>
          <w:rFonts w:hint="eastAsia" w:ascii="仿宋_GB2312" w:hAnsi="仿宋_GB2312" w:eastAsia="仿宋_GB2312" w:cs="仿宋_GB2312"/>
          <w:color w:val="000000"/>
          <w:kern w:val="0"/>
          <w:sz w:val="32"/>
          <w:szCs w:val="32"/>
          <w:lang w:val="en-US" w:eastAsia="zh-CN" w:bidi="ar"/>
        </w:rPr>
        <w:t>工作</w:t>
      </w:r>
      <w:r>
        <w:rPr>
          <w:rFonts w:hint="default" w:ascii="仿宋_GB2312" w:hAnsi="仿宋_GB2312" w:eastAsia="仿宋_GB2312" w:cs="仿宋_GB2312"/>
          <w:color w:val="000000"/>
          <w:kern w:val="0"/>
          <w:sz w:val="32"/>
          <w:szCs w:val="32"/>
          <w:lang w:val="en-US" w:eastAsia="zh-CN" w:bidi="ar"/>
        </w:rPr>
        <w:t>实际，出台相关文件，明确并落实</w:t>
      </w:r>
      <w:r>
        <w:rPr>
          <w:rFonts w:hint="eastAsia" w:ascii="仿宋_GB2312" w:hAnsi="仿宋_GB2312" w:eastAsia="仿宋_GB2312" w:cs="仿宋_GB2312"/>
          <w:color w:val="000000"/>
          <w:kern w:val="0"/>
          <w:sz w:val="32"/>
          <w:szCs w:val="32"/>
          <w:lang w:val="en-US" w:eastAsia="zh-CN" w:bidi="ar"/>
        </w:rPr>
        <w:t>新兴行业领域和职能交叉行业领域的安全监管职责，抓</w:t>
      </w:r>
      <w:r>
        <w:rPr>
          <w:rFonts w:hint="default" w:ascii="仿宋_GB2312" w:hAnsi="仿宋_GB2312" w:eastAsia="仿宋_GB2312" w:cs="仿宋_GB2312"/>
          <w:color w:val="000000"/>
          <w:kern w:val="0"/>
          <w:sz w:val="32"/>
          <w:szCs w:val="32"/>
          <w:lang w:val="en-US" w:eastAsia="zh-CN" w:bidi="ar"/>
        </w:rPr>
        <w:t>实电动自行车全链条监管责任。</w:t>
      </w:r>
    </w:p>
    <w:p w14:paraId="2853C01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三、开展安全隐患大排查活动，持续深化风险隐患“清零”攻坚战</w:t>
      </w:r>
    </w:p>
    <w:p w14:paraId="2360866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（一）聚焦</w:t>
      </w:r>
      <w:r>
        <w:rPr>
          <w:rFonts w:hint="eastAsia" w:ascii="仿宋_GB2312" w:hAnsi="仿宋_GB2312" w:eastAsia="仿宋_GB2312" w:cs="仿宋_GB2312"/>
          <w:color w:val="000000"/>
          <w:kern w:val="0"/>
          <w:sz w:val="32"/>
          <w:szCs w:val="32"/>
          <w:lang w:val="en-US" w:eastAsia="zh-CN" w:bidi="ar"/>
        </w:rPr>
        <w:t>《持续深入开展生态环境安全隐患排查整治工作方案》中排查整治主要内容，</w:t>
      </w:r>
      <w:r>
        <w:rPr>
          <w:rFonts w:hint="default" w:ascii="仿宋_GB2312" w:hAnsi="仿宋_GB2312" w:eastAsia="仿宋_GB2312" w:cs="仿宋_GB2312"/>
          <w:color w:val="000000"/>
          <w:kern w:val="0"/>
          <w:sz w:val="32"/>
          <w:szCs w:val="32"/>
          <w:lang w:val="en-US" w:eastAsia="zh-CN" w:bidi="ar"/>
        </w:rPr>
        <w:t>按照《全市重大事故隐患专项排查整治2023行动实施方案》要求，持续深入开展重大事故隐患专项排查整治，进一步查细查实重大事故隐患，跟踪整治到位；特别是要对</w:t>
      </w:r>
      <w:r>
        <w:rPr>
          <w:rFonts w:hint="eastAsia" w:ascii="仿宋_GB2312" w:hAnsi="仿宋_GB2312" w:eastAsia="仿宋_GB2312" w:cs="仿宋_GB2312"/>
          <w:color w:val="000000"/>
          <w:kern w:val="0"/>
          <w:sz w:val="32"/>
          <w:szCs w:val="32"/>
          <w:lang w:val="en-US" w:eastAsia="zh-CN" w:bidi="ar"/>
        </w:rPr>
        <w:t>照《企业突发环境事件隐患排查和治理工作指南（试行）》中</w:t>
      </w:r>
      <w:r>
        <w:rPr>
          <w:rFonts w:hint="default" w:ascii="仿宋_GB2312" w:hAnsi="仿宋_GB2312" w:eastAsia="仿宋_GB2312" w:cs="仿宋_GB2312"/>
          <w:color w:val="000000"/>
          <w:kern w:val="0"/>
          <w:sz w:val="32"/>
          <w:szCs w:val="32"/>
          <w:lang w:val="en-US" w:eastAsia="zh-CN" w:bidi="ar"/>
        </w:rPr>
        <w:t>重大隐患判定标准进行再梳理，举一反三，查漏补缺，抓紧完善提升。</w:t>
      </w:r>
    </w:p>
    <w:p w14:paraId="0CBD6E3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二</w:t>
      </w:r>
      <w:r>
        <w:rPr>
          <w:rFonts w:hint="default" w:ascii="仿宋_GB2312" w:hAnsi="仿宋_GB2312" w:eastAsia="仿宋_GB2312" w:cs="仿宋_GB2312"/>
          <w:color w:val="000000"/>
          <w:kern w:val="0"/>
          <w:sz w:val="32"/>
          <w:szCs w:val="32"/>
          <w:lang w:val="en-US" w:eastAsia="zh-CN" w:bidi="ar"/>
        </w:rPr>
        <w:t>）聚焦办公场所、食堂等易漏管失控的人员密集场所，排查整治电气线路老化、违规使用大功率取暖设备、电路过载、消防设施短缺损坏、封闭安全出口等可能造成火灾事故的风险隐患；排查整治未按规定设置专用气瓶间，在用气瓶和备用气瓶未分开放置，未规范安装、使用可燃气体报警装置及燃气紧急切断阀，问题瓶、问题阀等可能导致燃气泄漏燃爆的风险隐患。</w:t>
      </w:r>
    </w:p>
    <w:p w14:paraId="528074E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w:t>
      </w:r>
      <w:r>
        <w:rPr>
          <w:rFonts w:hint="default" w:ascii="仿宋_GB2312" w:hAnsi="仿宋_GB2312" w:eastAsia="仿宋_GB2312" w:cs="仿宋_GB2312"/>
          <w:color w:val="000000"/>
          <w:kern w:val="0"/>
          <w:sz w:val="32"/>
          <w:szCs w:val="32"/>
          <w:lang w:val="en-US" w:eastAsia="zh-CN" w:bidi="ar"/>
        </w:rPr>
        <w:t>）聚焦动火、有限空间、高处作业等危险作业环节，排查整治安全风险未辨识、危险作业不审批、管控措施不落实、防护用品不配备、人员培训不到位等可能引发火灾、燃烧爆炸、中毒窒息、高处坠落等事故的风险隐患。</w:t>
      </w:r>
    </w:p>
    <w:p w14:paraId="776C879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四</w:t>
      </w:r>
      <w:r>
        <w:rPr>
          <w:rFonts w:hint="default" w:ascii="仿宋_GB2312" w:hAnsi="仿宋_GB2312" w:eastAsia="仿宋_GB2312" w:cs="仿宋_GB2312"/>
          <w:color w:val="000000"/>
          <w:kern w:val="0"/>
          <w:sz w:val="32"/>
          <w:szCs w:val="32"/>
          <w:lang w:val="en-US" w:eastAsia="zh-CN" w:bidi="ar"/>
        </w:rPr>
        <w:t>）推进化工园区整治提升。各相关</w:t>
      </w:r>
      <w:r>
        <w:rPr>
          <w:rFonts w:hint="eastAsia" w:ascii="仿宋_GB2312" w:hAnsi="仿宋_GB2312" w:eastAsia="仿宋_GB2312" w:cs="仿宋_GB2312"/>
          <w:color w:val="000000"/>
          <w:kern w:val="0"/>
          <w:sz w:val="32"/>
          <w:szCs w:val="32"/>
          <w:lang w:val="en-US" w:eastAsia="zh-CN" w:bidi="ar"/>
        </w:rPr>
        <w:t>科室单位</w:t>
      </w:r>
      <w:r>
        <w:rPr>
          <w:rFonts w:hint="default" w:ascii="仿宋_GB2312" w:hAnsi="仿宋_GB2312" w:eastAsia="仿宋_GB2312" w:cs="仿宋_GB2312"/>
          <w:color w:val="000000"/>
          <w:kern w:val="0"/>
          <w:sz w:val="32"/>
          <w:szCs w:val="32"/>
          <w:lang w:val="en-US" w:eastAsia="zh-CN" w:bidi="ar"/>
        </w:rPr>
        <w:t>要按照</w:t>
      </w:r>
      <w:r>
        <w:rPr>
          <w:rFonts w:hint="eastAsia" w:ascii="仿宋_GB2312" w:hAnsi="仿宋_GB2312" w:eastAsia="仿宋_GB2312" w:cs="仿宋_GB2312"/>
          <w:color w:val="000000"/>
          <w:kern w:val="0"/>
          <w:sz w:val="32"/>
          <w:szCs w:val="32"/>
          <w:lang w:val="en-US" w:eastAsia="zh-CN" w:bidi="ar"/>
        </w:rPr>
        <w:t>《持续深入开展生态环境安全隐患排查整治工作方案》</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spacing w:val="0"/>
          <w:sz w:val="32"/>
          <w:szCs w:val="32"/>
          <w:lang w:eastAsia="zh-CN"/>
        </w:rPr>
        <w:t>强化</w:t>
      </w:r>
      <w:r>
        <w:rPr>
          <w:rFonts w:hint="eastAsia" w:ascii="仿宋_GB2312" w:hAnsi="仿宋_GB2312" w:eastAsia="仿宋_GB2312" w:cs="仿宋_GB2312"/>
          <w:color w:val="auto"/>
          <w:spacing w:val="0"/>
          <w:sz w:val="32"/>
          <w:szCs w:val="32"/>
        </w:rPr>
        <w:t>园区管理部门环境</w:t>
      </w:r>
      <w:r>
        <w:rPr>
          <w:rFonts w:hint="eastAsia" w:ascii="仿宋_GB2312" w:hAnsi="仿宋_GB2312" w:eastAsia="仿宋_GB2312" w:cs="仿宋_GB2312"/>
          <w:color w:val="auto"/>
          <w:spacing w:val="0"/>
          <w:sz w:val="32"/>
          <w:szCs w:val="32"/>
          <w:lang w:eastAsia="zh-CN"/>
        </w:rPr>
        <w:t>监管责任，全面检查</w:t>
      </w:r>
      <w:r>
        <w:rPr>
          <w:rFonts w:hint="eastAsia" w:ascii="仿宋_GB2312" w:hAnsi="仿宋_GB2312" w:eastAsia="仿宋_GB2312" w:cs="仿宋_GB2312"/>
          <w:color w:val="auto"/>
          <w:spacing w:val="0"/>
          <w:sz w:val="32"/>
          <w:szCs w:val="32"/>
        </w:rPr>
        <w:t>园区雨污管网、污水处理厂等基础设施，以及应急池、应急闸坝等环境应急设施的建设、运行情况，园区内企业、污水处理厂入河排污口的设置、</w:t>
      </w:r>
      <w:r>
        <w:rPr>
          <w:rFonts w:hint="eastAsia" w:ascii="仿宋_GB2312" w:hAnsi="仿宋_GB2312" w:eastAsia="仿宋_GB2312" w:cs="仿宋_GB2312"/>
          <w:b w:val="0"/>
          <w:bCs w:val="0"/>
          <w:kern w:val="2"/>
          <w:sz w:val="32"/>
          <w:szCs w:val="32"/>
          <w:lang w:val="en-US" w:eastAsia="zh-CN" w:bidi="ar-SA"/>
        </w:rPr>
        <w:t>排放情况。同时，要组织打好园区污染风险阻击战，通过技术、工程和管理措施建设完备的企业级、园区级和流域级环境污染事件多级防控体系，稳步推进省级化工园区“一园一策一图”示范试点工作。</w:t>
      </w:r>
      <w:r>
        <w:rPr>
          <w:rFonts w:hint="eastAsia" w:ascii="仿宋_GB2312" w:hAnsi="仿宋_GB2312" w:eastAsia="仿宋_GB2312" w:cs="仿宋_GB2312"/>
          <w:color w:val="000000"/>
          <w:kern w:val="0"/>
          <w:sz w:val="32"/>
          <w:szCs w:val="32"/>
          <w:lang w:val="en-US" w:eastAsia="zh-CN" w:bidi="ar"/>
        </w:rPr>
        <w:t>对照</w:t>
      </w:r>
      <w:r>
        <w:rPr>
          <w:rFonts w:hint="default" w:ascii="仿宋_GB2312" w:hAnsi="仿宋_GB2312" w:eastAsia="仿宋_GB2312" w:cs="仿宋_GB2312"/>
          <w:color w:val="000000"/>
          <w:kern w:val="0"/>
          <w:sz w:val="32"/>
          <w:szCs w:val="32"/>
          <w:lang w:val="en-US" w:eastAsia="zh-CN" w:bidi="ar"/>
        </w:rPr>
        <w:t>《山西省化工园区认定管理办法（试行）》对照专家反馈问题，落实整改，持续提</w:t>
      </w:r>
      <w:r>
        <w:rPr>
          <w:rFonts w:hint="default" w:ascii="FZFangSong-Z02S" w:hAnsi="FZFangSong-Z02S" w:eastAsia="FZFangSong-Z02S" w:cs="FZFangSong-Z02S"/>
          <w:color w:val="000000"/>
          <w:kern w:val="0"/>
          <w:sz w:val="31"/>
          <w:szCs w:val="31"/>
          <w:lang w:val="en-US" w:eastAsia="zh-CN" w:bidi="ar"/>
        </w:rPr>
        <w:t>升。</w:t>
      </w:r>
    </w:p>
    <w:p w14:paraId="29374E1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）开展本年度重大事故隐患整改落实情况“回头看”。</w:t>
      </w:r>
      <w:r>
        <w:rPr>
          <w:rFonts w:hint="eastAsia" w:ascii="仿宋_GB2312" w:hAnsi="仿宋_GB2312" w:eastAsia="仿宋_GB2312" w:cs="仿宋_GB2312"/>
          <w:color w:val="000000"/>
          <w:kern w:val="0"/>
          <w:sz w:val="32"/>
          <w:szCs w:val="32"/>
          <w:lang w:val="en-US" w:eastAsia="zh-CN" w:bidi="ar"/>
        </w:rPr>
        <w:t>各分局</w:t>
      </w:r>
      <w:r>
        <w:rPr>
          <w:rFonts w:hint="default" w:ascii="仿宋_GB2312" w:hAnsi="仿宋_GB2312" w:eastAsia="仿宋_GB2312" w:cs="仿宋_GB2312"/>
          <w:color w:val="000000"/>
          <w:kern w:val="0"/>
          <w:sz w:val="32"/>
          <w:szCs w:val="32"/>
          <w:lang w:val="en-US" w:eastAsia="zh-CN" w:bidi="ar"/>
        </w:rPr>
        <w:t>各单位</w:t>
      </w:r>
      <w:r>
        <w:rPr>
          <w:rFonts w:hint="eastAsia" w:ascii="仿宋_GB2312" w:hAnsi="仿宋_GB2312" w:eastAsia="仿宋_GB2312" w:cs="仿宋_GB2312"/>
          <w:color w:val="000000"/>
          <w:kern w:val="0"/>
          <w:sz w:val="32"/>
          <w:szCs w:val="32"/>
          <w:lang w:val="en-US" w:eastAsia="zh-CN" w:bidi="ar"/>
        </w:rPr>
        <w:t>科室</w:t>
      </w:r>
      <w:r>
        <w:rPr>
          <w:rFonts w:hint="default" w:ascii="仿宋_GB2312" w:hAnsi="仿宋_GB2312" w:eastAsia="仿宋_GB2312" w:cs="仿宋_GB2312"/>
          <w:color w:val="000000"/>
          <w:kern w:val="0"/>
          <w:sz w:val="32"/>
          <w:szCs w:val="32"/>
          <w:lang w:val="en-US" w:eastAsia="zh-CN" w:bidi="ar"/>
        </w:rPr>
        <w:t>要全面梳理今年以来各类督查检查排查出的问题隐患，对已整改的重大隐患和突出风险要逐个开展核查，确保真改实改，不留死角，坚决防止“死灰复燃”；对未整改到位的要摸清底数，登记造册，分门别类进行整理归纳，建立台账，定人员、定责任、定措施、定限期，分级分批挂牌督办，确保所有隐患年内全部限期整改到位；要督促企业对重大隐患实行监管部门和集团公司负责人“双挂牌”，排查整改情况向监管部门和企业职代会进行“双报告”。</w:t>
      </w:r>
    </w:p>
    <w:p w14:paraId="787733BB">
      <w:pPr>
        <w:keepNext w:val="0"/>
        <w:keepLines w:val="0"/>
        <w:pageBreakBefore w:val="0"/>
        <w:widowControl/>
        <w:suppressLineNumbers w:val="0"/>
        <w:kinsoku/>
        <w:wordWrap/>
        <w:overflowPunct/>
        <w:topLinePunct w:val="0"/>
        <w:autoSpaceDE/>
        <w:autoSpaceDN/>
        <w:bidi w:val="0"/>
        <w:adjustRightInd/>
        <w:snapToGrid/>
        <w:spacing w:line="580" w:lineRule="exact"/>
        <w:ind w:firstLine="616" w:firstLineChars="200"/>
        <w:jc w:val="left"/>
        <w:textAlignment w:val="auto"/>
        <w:rPr>
          <w:rFonts w:hint="eastAsia" w:ascii="黑体" w:hAnsi="宋体" w:eastAsia="黑体" w:cs="黑体"/>
          <w:color w:val="000000"/>
          <w:spacing w:val="-6"/>
          <w:kern w:val="0"/>
          <w:sz w:val="32"/>
          <w:szCs w:val="32"/>
          <w:lang w:val="en-US" w:eastAsia="zh-CN" w:bidi="ar"/>
        </w:rPr>
      </w:pPr>
      <w:r>
        <w:rPr>
          <w:rFonts w:hint="eastAsia" w:ascii="黑体" w:hAnsi="宋体" w:eastAsia="黑体" w:cs="黑体"/>
          <w:color w:val="000000"/>
          <w:spacing w:val="-6"/>
          <w:kern w:val="0"/>
          <w:sz w:val="32"/>
          <w:szCs w:val="32"/>
          <w:lang w:val="en-US" w:eastAsia="zh-CN" w:bidi="ar"/>
        </w:rPr>
        <w:t>四、开展安全问题大整治活动，持续巩固“打非治违”攻坚战</w:t>
      </w:r>
    </w:p>
    <w:p w14:paraId="717496AE">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（一）聚焦工作作风不扎实问题开展整治。</w:t>
      </w:r>
      <w:r>
        <w:rPr>
          <w:rFonts w:hint="default" w:ascii="仿宋_GB2312" w:hAnsi="仿宋_GB2312" w:eastAsia="仿宋_GB2312" w:cs="仿宋_GB2312"/>
          <w:color w:val="000000"/>
          <w:kern w:val="0"/>
          <w:sz w:val="32"/>
          <w:szCs w:val="32"/>
          <w:lang w:val="en-US" w:eastAsia="zh-CN" w:bidi="ar"/>
        </w:rPr>
        <w:t>重点整治</w:t>
      </w:r>
      <w:r>
        <w:rPr>
          <w:rFonts w:hint="eastAsia" w:ascii="仿宋_GB2312" w:hAnsi="仿宋_GB2312" w:eastAsia="仿宋_GB2312" w:cs="仿宋_GB2312"/>
          <w:color w:val="000000"/>
          <w:kern w:val="0"/>
          <w:sz w:val="32"/>
          <w:szCs w:val="32"/>
          <w:lang w:val="en-US" w:eastAsia="zh-CN" w:bidi="ar"/>
        </w:rPr>
        <w:t>危险废物</w:t>
      </w:r>
      <w:r>
        <w:rPr>
          <w:rFonts w:hint="default" w:ascii="仿宋_GB2312" w:hAnsi="仿宋_GB2312" w:eastAsia="仿宋_GB2312" w:cs="仿宋_GB2312"/>
          <w:color w:val="000000"/>
          <w:kern w:val="0"/>
          <w:sz w:val="32"/>
          <w:szCs w:val="32"/>
          <w:lang w:val="en-US" w:eastAsia="zh-CN" w:bidi="ar"/>
        </w:rPr>
        <w:t>领域监管职责不清、存在盲区漏洞，失管失察的问题；没有把身边的事故作为警示，对苗头性的风险隐患没有引起足够重视，更没有对照检查整改，导致发生同类事故的问题；一些部门和企业作风漂浮，工作不认真不扎实，重大事故隐患排查整治质量不高，异化为一个动作、一种形式的问题。</w:t>
      </w:r>
    </w:p>
    <w:p w14:paraId="143F4D5F">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（二）聚焦违法违规生产经营建设问题开展整治。</w:t>
      </w:r>
      <w:r>
        <w:rPr>
          <w:rFonts w:hint="default" w:ascii="仿宋_GB2312" w:hAnsi="仿宋_GB2312" w:eastAsia="仿宋_GB2312" w:cs="仿宋_GB2312"/>
          <w:color w:val="000000"/>
          <w:kern w:val="0"/>
          <w:sz w:val="32"/>
          <w:szCs w:val="32"/>
          <w:lang w:val="en-US" w:eastAsia="zh-CN" w:bidi="ar"/>
        </w:rPr>
        <w:t>重点整治证照手续不齐、人员资质不符；关闭、破坏直接关系生产安全的设备设施，或篡改、隐瞒、销毁其相关数据信息；重大事故隐患不及时向监管部门报告、不及时采取有效措施仍冒险组织生产；拒不执行整改指令，违法组织生产、建设等问题。</w:t>
      </w:r>
    </w:p>
    <w:p w14:paraId="189BD77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bCs/>
          <w:color w:val="000000"/>
          <w:kern w:val="0"/>
          <w:sz w:val="32"/>
          <w:szCs w:val="32"/>
          <w:lang w:val="en-US" w:eastAsia="zh-CN" w:bidi="ar"/>
        </w:rPr>
        <w:t>三）聚焦现场管理混乱、“三违”行为多发问题开展整治。</w:t>
      </w:r>
      <w:r>
        <w:rPr>
          <w:rFonts w:hint="default" w:ascii="仿宋_GB2312" w:hAnsi="仿宋_GB2312" w:eastAsia="仿宋_GB2312" w:cs="仿宋_GB2312"/>
          <w:color w:val="000000"/>
          <w:kern w:val="0"/>
          <w:sz w:val="32"/>
          <w:szCs w:val="32"/>
          <w:lang w:val="en-US" w:eastAsia="zh-CN" w:bidi="ar"/>
        </w:rPr>
        <w:t>重点整治未落实集团公司季查、主要负责人月查、分管负责人旬查、安全管理机构和车间周查、班组日查机制，现场安全管理混乱等问题；未制定各岗位的操作规程，员工操作规程不落实，未开展“反三违”专项行动、对“三违”人员进行处罚等问题。</w:t>
      </w:r>
    </w:p>
    <w:p w14:paraId="31236F1B">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（四）聚焦自救互救能力不强、应急处置不力问题开展整治。</w:t>
      </w:r>
      <w:r>
        <w:rPr>
          <w:rFonts w:hint="default" w:ascii="仿宋_GB2312" w:hAnsi="仿宋_GB2312" w:eastAsia="仿宋_GB2312" w:cs="仿宋_GB2312"/>
          <w:color w:val="000000"/>
          <w:kern w:val="0"/>
          <w:sz w:val="32"/>
          <w:szCs w:val="32"/>
          <w:lang w:val="en-US" w:eastAsia="zh-CN" w:bidi="ar"/>
        </w:rPr>
        <w:t>重点整治应急救援机构不健全、运行不顺畅、履职不到位；</w:t>
      </w:r>
      <w:r>
        <w:rPr>
          <w:rFonts w:hint="eastAsia" w:ascii="仿宋_GB2312" w:hAnsi="仿宋_GB2312" w:eastAsia="仿宋_GB2312" w:cs="仿宋_GB2312"/>
          <w:color w:val="000000"/>
          <w:kern w:val="0"/>
          <w:sz w:val="32"/>
          <w:szCs w:val="32"/>
          <w:lang w:val="en-US" w:eastAsia="zh-CN" w:bidi="ar"/>
        </w:rPr>
        <w:t>环境</w:t>
      </w:r>
      <w:r>
        <w:rPr>
          <w:rFonts w:hint="default" w:ascii="仿宋_GB2312" w:hAnsi="仿宋_GB2312" w:eastAsia="仿宋_GB2312" w:cs="仿宋_GB2312"/>
          <w:color w:val="000000"/>
          <w:kern w:val="0"/>
          <w:sz w:val="32"/>
          <w:szCs w:val="32"/>
          <w:lang w:val="en-US" w:eastAsia="zh-CN" w:bidi="ar"/>
        </w:rPr>
        <w:t>应急</w:t>
      </w:r>
      <w:r>
        <w:rPr>
          <w:rFonts w:hint="eastAsia" w:ascii="仿宋_GB2312" w:hAnsi="仿宋_GB2312" w:eastAsia="仿宋_GB2312" w:cs="仿宋_GB2312"/>
          <w:color w:val="000000"/>
          <w:kern w:val="0"/>
          <w:sz w:val="32"/>
          <w:szCs w:val="32"/>
          <w:lang w:val="en-US" w:eastAsia="zh-CN" w:bidi="ar"/>
        </w:rPr>
        <w:t>物资、装备或设施不配备，维护、保养、管理不及时；突发环境事件应急预案未制定，未开展演练、评估和修订；应急预案培训不到位等问题。</w:t>
      </w:r>
    </w:p>
    <w:p w14:paraId="1E1B4F8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（五）聚焦生态环境领域重点突出问题隐患开展整治。</w:t>
      </w:r>
      <w:r>
        <w:rPr>
          <w:rFonts w:hint="default" w:ascii="仿宋_GB2312" w:hAnsi="仿宋_GB2312" w:eastAsia="仿宋_GB2312" w:cs="仿宋_GB2312"/>
          <w:color w:val="000000"/>
          <w:kern w:val="0"/>
          <w:sz w:val="32"/>
          <w:szCs w:val="32"/>
          <w:lang w:val="en-US" w:eastAsia="zh-CN" w:bidi="ar"/>
        </w:rPr>
        <w:t>一是</w:t>
      </w:r>
      <w:r>
        <w:rPr>
          <w:rFonts w:hint="eastAsia" w:ascii="仿宋_GB2312" w:hAnsi="仿宋_GB2312" w:eastAsia="仿宋_GB2312" w:cs="仿宋_GB2312"/>
          <w:color w:val="000000"/>
          <w:kern w:val="0"/>
          <w:sz w:val="32"/>
          <w:szCs w:val="32"/>
          <w:lang w:val="en-US" w:eastAsia="zh-CN" w:bidi="ar"/>
        </w:rPr>
        <w:t>强化危险废物、尾矿库、重金属等重点领域环境隐患排查</w:t>
      </w:r>
      <w:r>
        <w:rPr>
          <w:rFonts w:hint="default" w:ascii="仿宋_GB2312" w:hAnsi="仿宋_GB2312" w:eastAsia="仿宋_GB2312" w:cs="仿宋_GB2312"/>
          <w:color w:val="000000"/>
          <w:kern w:val="0"/>
          <w:sz w:val="32"/>
          <w:szCs w:val="32"/>
          <w:lang w:val="en-US" w:eastAsia="zh-CN" w:bidi="ar"/>
        </w:rPr>
        <w:t>整治。各县（市、区）</w:t>
      </w:r>
      <w:r>
        <w:rPr>
          <w:rFonts w:hint="eastAsia" w:ascii="仿宋_GB2312" w:hAnsi="仿宋_GB2312" w:eastAsia="仿宋_GB2312" w:cs="仿宋_GB2312"/>
          <w:color w:val="000000"/>
          <w:kern w:val="0"/>
          <w:sz w:val="32"/>
          <w:szCs w:val="32"/>
          <w:lang w:val="en-US" w:eastAsia="zh-CN" w:bidi="ar"/>
        </w:rPr>
        <w:t>分局</w:t>
      </w:r>
      <w:r>
        <w:rPr>
          <w:rFonts w:hint="default" w:ascii="仿宋_GB2312" w:hAnsi="仿宋_GB2312" w:eastAsia="仿宋_GB2312" w:cs="仿宋_GB2312"/>
          <w:color w:val="000000"/>
          <w:kern w:val="0"/>
          <w:sz w:val="32"/>
          <w:szCs w:val="32"/>
          <w:lang w:val="en-US" w:eastAsia="zh-CN" w:bidi="ar"/>
        </w:rPr>
        <w:t>、相关</w:t>
      </w:r>
      <w:r>
        <w:rPr>
          <w:rFonts w:hint="eastAsia" w:ascii="仿宋_GB2312" w:hAnsi="仿宋_GB2312" w:eastAsia="仿宋_GB2312" w:cs="仿宋_GB2312"/>
          <w:color w:val="000000"/>
          <w:kern w:val="0"/>
          <w:sz w:val="32"/>
          <w:szCs w:val="32"/>
          <w:lang w:val="en-US" w:eastAsia="zh-CN" w:bidi="ar"/>
        </w:rPr>
        <w:t>科室</w:t>
      </w:r>
      <w:r>
        <w:rPr>
          <w:rFonts w:hint="default" w:ascii="仿宋_GB2312" w:hAnsi="仿宋_GB2312" w:eastAsia="仿宋_GB2312" w:cs="仿宋_GB2312"/>
          <w:color w:val="000000"/>
          <w:kern w:val="0"/>
          <w:sz w:val="32"/>
          <w:szCs w:val="32"/>
          <w:lang w:val="en-US" w:eastAsia="zh-CN" w:bidi="ar"/>
        </w:rPr>
        <w:t>要采取有效措施，</w:t>
      </w:r>
      <w:r>
        <w:rPr>
          <w:rFonts w:hint="eastAsia" w:ascii="仿宋_GB2312" w:hAnsi="仿宋_GB2312" w:eastAsia="仿宋_GB2312" w:cs="仿宋_GB2312"/>
          <w:color w:val="000000"/>
          <w:kern w:val="0"/>
          <w:sz w:val="32"/>
          <w:szCs w:val="32"/>
          <w:lang w:val="en-US" w:eastAsia="zh-CN" w:bidi="ar"/>
        </w:rPr>
        <w:t>严厉打击擅自倾倒、堆放危险废物行为。严厉打击未按照许可证规定从事危险废物收集、贮存、利用、处置的经营活动或无证经营行为</w:t>
      </w:r>
      <w:r>
        <w:rPr>
          <w:rFonts w:hint="default" w:ascii="仿宋_GB2312" w:hAnsi="仿宋_GB2312" w:eastAsia="仿宋_GB2312" w:cs="仿宋_GB2312"/>
          <w:color w:val="000000"/>
          <w:kern w:val="0"/>
          <w:sz w:val="32"/>
          <w:szCs w:val="32"/>
          <w:lang w:val="en-US" w:eastAsia="zh-CN" w:bidi="ar"/>
        </w:rPr>
        <w:t>。二是持续开展</w:t>
      </w:r>
      <w:r>
        <w:rPr>
          <w:rFonts w:hint="eastAsia" w:ascii="仿宋_GB2312" w:hAnsi="仿宋_GB2312" w:eastAsia="仿宋_GB2312" w:cs="仿宋_GB2312"/>
          <w:color w:val="000000"/>
          <w:kern w:val="0"/>
          <w:sz w:val="32"/>
          <w:szCs w:val="32"/>
          <w:lang w:val="en-US" w:eastAsia="zh-CN" w:bidi="ar"/>
        </w:rPr>
        <w:t>环保设施安全隐患排查与治理。</w:t>
      </w:r>
      <w:r>
        <w:rPr>
          <w:rFonts w:hint="default" w:ascii="仿宋_GB2312" w:hAnsi="仿宋_GB2312" w:eastAsia="仿宋_GB2312" w:cs="仿宋_GB2312"/>
          <w:color w:val="000000"/>
          <w:kern w:val="0"/>
          <w:sz w:val="32"/>
          <w:szCs w:val="32"/>
          <w:lang w:val="en-US" w:eastAsia="zh-CN" w:bidi="ar"/>
        </w:rPr>
        <w:t>认真执行《山西省生态环境厅关于协助相关行业企业监管部门做好环保设施安全监管工作的通知》（晋环发〔2022〕35号），积极协助相关行业企业监管部门做好环保设施安全监管工作</w:t>
      </w:r>
      <w:r>
        <w:rPr>
          <w:rFonts w:hint="eastAsia" w:ascii="仿宋_GB2312" w:hAnsi="仿宋_GB2312" w:eastAsia="仿宋_GB2312" w:cs="仿宋_GB2312"/>
          <w:color w:val="000000"/>
          <w:kern w:val="0"/>
          <w:sz w:val="32"/>
          <w:szCs w:val="32"/>
          <w:lang w:val="en-US" w:eastAsia="zh-CN" w:bidi="ar"/>
        </w:rPr>
        <w:t>，指导督促相关企业单位对环保设施和项目组织开展安全风险评估和隐患排查治理</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是强化环境污染第三方治理企业的安全监管，重点针对在线监控运维过程中产生的危险废物和小微企业收集试点企业的危险废物管理等三方治理企业进行排查整治。四是强化电动自行车全链条监管，重点针对电动自行车在拆解过程中的废旧铅蓄电池回收工作进行排查整治。五</w:t>
      </w:r>
      <w:r>
        <w:rPr>
          <w:rFonts w:hint="default" w:ascii="仿宋_GB2312" w:hAnsi="仿宋_GB2312" w:eastAsia="仿宋_GB2312" w:cs="仿宋_GB2312"/>
          <w:color w:val="000000"/>
          <w:kern w:val="0"/>
          <w:sz w:val="32"/>
          <w:szCs w:val="32"/>
          <w:lang w:val="en-US" w:eastAsia="zh-CN" w:bidi="ar"/>
        </w:rPr>
        <w:t>是</w:t>
      </w:r>
      <w:r>
        <w:rPr>
          <w:rFonts w:hint="eastAsia" w:ascii="仿宋_GB2312" w:hAnsi="仿宋_GB2312" w:eastAsia="仿宋_GB2312" w:cs="仿宋_GB2312"/>
          <w:color w:val="000000"/>
          <w:kern w:val="0"/>
          <w:sz w:val="32"/>
          <w:szCs w:val="32"/>
          <w:lang w:val="en-US" w:eastAsia="zh-CN" w:bidi="ar"/>
        </w:rPr>
        <w:t>加大社会监督和举报奖励工作力度，</w:t>
      </w:r>
      <w:r>
        <w:rPr>
          <w:rFonts w:hint="default" w:ascii="仿宋_GB2312" w:hAnsi="仿宋_GB2312" w:eastAsia="仿宋_GB2312" w:cs="仿宋_GB2312"/>
          <w:color w:val="000000"/>
          <w:kern w:val="0"/>
          <w:sz w:val="32"/>
          <w:szCs w:val="32"/>
          <w:lang w:val="en-US" w:eastAsia="zh-CN" w:bidi="ar"/>
        </w:rPr>
        <w:t>督促企业健全完善并落实安全生产“吹哨人”和举报奖励制度。</w:t>
      </w:r>
    </w:p>
    <w:p w14:paraId="655F5B13">
      <w:pPr>
        <w:keepNext w:val="0"/>
        <w:keepLines w:val="0"/>
        <w:pageBreakBefore w:val="0"/>
        <w:widowControl/>
        <w:suppressLineNumbers w:val="0"/>
        <w:kinsoku/>
        <w:wordWrap/>
        <w:overflowPunct/>
        <w:topLinePunct w:val="0"/>
        <w:autoSpaceDE/>
        <w:autoSpaceDN/>
        <w:bidi w:val="0"/>
        <w:adjustRightInd/>
        <w:snapToGrid/>
        <w:spacing w:line="580" w:lineRule="exact"/>
        <w:ind w:firstLine="616" w:firstLineChars="200"/>
        <w:jc w:val="left"/>
        <w:textAlignment w:val="auto"/>
        <w:rPr>
          <w:rFonts w:hint="eastAsia" w:ascii="黑体" w:hAnsi="宋体" w:eastAsia="黑体" w:cs="黑体"/>
          <w:color w:val="000000"/>
          <w:spacing w:val="-6"/>
          <w:kern w:val="0"/>
          <w:sz w:val="32"/>
          <w:szCs w:val="32"/>
          <w:lang w:val="en-US" w:eastAsia="zh-CN" w:bidi="ar"/>
        </w:rPr>
      </w:pPr>
      <w:r>
        <w:rPr>
          <w:rFonts w:hint="eastAsia" w:ascii="黑体" w:hAnsi="宋体" w:eastAsia="黑体" w:cs="黑体"/>
          <w:color w:val="000000"/>
          <w:spacing w:val="-6"/>
          <w:kern w:val="0"/>
          <w:sz w:val="32"/>
          <w:szCs w:val="32"/>
          <w:lang w:val="en-US" w:eastAsia="zh-CN" w:bidi="ar"/>
        </w:rPr>
        <w:t>五、开展重点时段大治理活动，坚决打赢冬季安全防范攻坚战</w:t>
      </w:r>
    </w:p>
    <w:p w14:paraId="1988E6D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（一）加大高风险车辆和路段管控力度。</w:t>
      </w:r>
      <w:r>
        <w:rPr>
          <w:rFonts w:hint="eastAsia" w:ascii="仿宋_GB2312" w:hAnsi="仿宋_GB2312" w:eastAsia="仿宋_GB2312" w:cs="仿宋_GB2312"/>
          <w:color w:val="000000"/>
          <w:kern w:val="0"/>
          <w:sz w:val="32"/>
          <w:szCs w:val="32"/>
          <w:lang w:val="en-US" w:eastAsia="zh-CN" w:bidi="ar"/>
        </w:rPr>
        <w:t>要与交通、高速公路、交警等部门联动，</w:t>
      </w:r>
      <w:r>
        <w:rPr>
          <w:rFonts w:hint="eastAsia" w:ascii="仿宋_GB2312" w:hAnsi="仿宋_GB2312" w:eastAsia="仿宋_GB2312" w:cs="仿宋_GB2312"/>
          <w:color w:val="auto"/>
          <w:spacing w:val="0"/>
          <w:sz w:val="32"/>
          <w:szCs w:val="32"/>
          <w:lang w:eastAsia="zh-CN"/>
        </w:rPr>
        <w:t>针对冬季气温下降、路面结冰等交通运输风险隐患，</w:t>
      </w:r>
      <w:r>
        <w:rPr>
          <w:rFonts w:hint="eastAsia" w:ascii="仿宋_GB2312" w:hAnsi="仿宋_GB2312" w:eastAsia="仿宋_GB2312" w:cs="仿宋_GB2312"/>
          <w:color w:val="auto"/>
          <w:spacing w:val="0"/>
          <w:sz w:val="32"/>
          <w:szCs w:val="32"/>
          <w:lang w:val="en-US" w:eastAsia="zh-CN"/>
        </w:rPr>
        <w:t>聚焦跨界临河路段的危化品车辆运输，</w:t>
      </w:r>
      <w:r>
        <w:rPr>
          <w:rFonts w:hint="eastAsia" w:ascii="仿宋_GB2312" w:hAnsi="仿宋_GB2312" w:eastAsia="仿宋_GB2312" w:cs="仿宋_GB2312"/>
          <w:color w:val="auto"/>
          <w:spacing w:val="0"/>
          <w:sz w:val="32"/>
          <w:szCs w:val="32"/>
          <w:lang w:eastAsia="zh-CN"/>
        </w:rPr>
        <w:t>组织</w:t>
      </w:r>
      <w:r>
        <w:rPr>
          <w:rFonts w:hint="eastAsia" w:ascii="仿宋_GB2312" w:hAnsi="仿宋_GB2312" w:eastAsia="仿宋_GB2312" w:cs="仿宋_GB2312"/>
          <w:color w:val="auto"/>
          <w:spacing w:val="0"/>
          <w:sz w:val="32"/>
          <w:szCs w:val="32"/>
          <w:lang w:val="en-US" w:eastAsia="zh-CN"/>
        </w:rPr>
        <w:t>打好临河运输风险阻击战，通过实施限时、限速和提醒等措施，构建防撞、导流、收集和应急物资储备等工程设施，切实消除临河运输风险，遇极端恶劣天气，高风险路段要严格实施封闭管理，坚决杜绝发生重大水污染事件。</w:t>
      </w:r>
    </w:p>
    <w:p w14:paraId="5A1B0EB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eastAsia" w:ascii="仿宋_GB2312" w:hAnsi="仿宋_GB2312" w:eastAsia="仿宋_GB2312" w:cs="仿宋_GB2312"/>
          <w:b/>
          <w:bCs/>
          <w:color w:val="000000"/>
          <w:kern w:val="0"/>
          <w:sz w:val="32"/>
          <w:szCs w:val="32"/>
          <w:lang w:val="en-US" w:eastAsia="zh-CN" w:bidi="ar"/>
        </w:rPr>
        <w:t>（二）做好应对突发环境事件的准备。</w:t>
      </w:r>
      <w:r>
        <w:rPr>
          <w:rFonts w:hint="eastAsia" w:ascii="仿宋_GB2312" w:hAnsi="仿宋_GB2312" w:eastAsia="仿宋_GB2312" w:cs="仿宋_GB2312"/>
          <w:color w:val="auto"/>
          <w:sz w:val="32"/>
          <w:szCs w:val="32"/>
          <w:lang w:eastAsia="zh-CN"/>
        </w:rPr>
        <w:t>严格落实领导带班和专人值班制度，确保24小时信息渠道畅通。发生突发环境事件时，要落实信息报告制度，主要负责同志要第一时间带队赶赴现场，及时采取科学有效处置措施。涉及跨界流域上下游突发水污染事件的，主要负责同志要亲自通报事件信息，严格落实属地管理责任和联防联控要求，科学开展断源、截污、降污等措施，最大限度降低事件的环境影响，减少对人民群众生命财产的危害。</w:t>
      </w:r>
    </w:p>
    <w:p w14:paraId="3FA3E80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hint="eastAsia" w:ascii="黑体" w:hAnsi="宋体" w:eastAsia="黑体" w:cs="黑体"/>
          <w:color w:val="000000"/>
          <w:kern w:val="0"/>
          <w:sz w:val="32"/>
          <w:szCs w:val="32"/>
          <w:lang w:val="en-US" w:eastAsia="zh-CN" w:bidi="ar"/>
        </w:rPr>
        <w:t>六、工作要求</w:t>
      </w:r>
    </w:p>
    <w:p w14:paraId="545EFE33">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000000"/>
          <w:kern w:val="0"/>
          <w:sz w:val="32"/>
          <w:szCs w:val="32"/>
          <w:lang w:val="en-US" w:eastAsia="zh-CN" w:bidi="ar"/>
        </w:rPr>
        <w:t>（一）提高政治站位。</w:t>
      </w:r>
      <w:r>
        <w:rPr>
          <w:rFonts w:hint="default"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分局</w:t>
      </w:r>
      <w:r>
        <w:rPr>
          <w:rFonts w:hint="default"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科室（</w:t>
      </w:r>
      <w:r>
        <w:rPr>
          <w:rFonts w:hint="default"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要坚决贯彻、逐条逐项落实习近平总书记重要指示精神，深刻认识做好安全生产各项工作的极端重要性，增强“时时放心不下”的责任感，坚持“五不为过”、做到“五个必须”，按照市委市政府“十抓安全”的要求，勇于担当作为、层层抓好落实，推动专项行动取得实效。</w:t>
      </w:r>
    </w:p>
    <w:p w14:paraId="5D39AF86">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eastAsia" w:ascii="仿宋_GB2312" w:hAnsi="仿宋_GB2312" w:eastAsia="仿宋_GB2312" w:cs="仿宋_GB2312"/>
          <w:b/>
          <w:bCs/>
          <w:color w:val="000000"/>
          <w:kern w:val="0"/>
          <w:sz w:val="32"/>
          <w:szCs w:val="32"/>
          <w:lang w:val="en-US" w:eastAsia="zh-CN" w:bidi="ar"/>
        </w:rPr>
        <w:t>（二）加强组织领导。</w:t>
      </w:r>
      <w:r>
        <w:rPr>
          <w:rFonts w:hint="default" w:ascii="仿宋_GB2312" w:hAnsi="仿宋_GB2312" w:eastAsia="仿宋_GB2312" w:cs="仿宋_GB2312"/>
          <w:color w:val="auto"/>
          <w:sz w:val="32"/>
          <w:szCs w:val="32"/>
          <w:lang w:val="en-US" w:eastAsia="zh-CN"/>
        </w:rPr>
        <w:t>重大事故隐患专项排查整治 2023行动</w:t>
      </w:r>
      <w:r>
        <w:rPr>
          <w:rFonts w:hint="eastAsia" w:ascii="仿宋_GB2312" w:hAnsi="仿宋_GB2312" w:eastAsia="仿宋_GB2312" w:cs="仿宋_GB2312"/>
          <w:color w:val="auto"/>
          <w:sz w:val="32"/>
          <w:szCs w:val="32"/>
          <w:lang w:val="en-US" w:eastAsia="zh-CN"/>
        </w:rPr>
        <w:t>危险废物专项</w:t>
      </w:r>
      <w:r>
        <w:rPr>
          <w:rFonts w:hint="default" w:ascii="仿宋_GB2312" w:hAnsi="仿宋_GB2312" w:eastAsia="仿宋_GB2312" w:cs="仿宋_GB2312"/>
          <w:color w:val="auto"/>
          <w:sz w:val="32"/>
          <w:szCs w:val="32"/>
          <w:lang w:val="en-US" w:eastAsia="zh-CN"/>
        </w:rPr>
        <w:t>领导组、</w:t>
      </w:r>
      <w:r>
        <w:rPr>
          <w:rFonts w:hint="eastAsia" w:ascii="仿宋_GB2312" w:hAnsi="仿宋_GB2312" w:eastAsia="仿宋_GB2312" w:cs="仿宋_GB2312"/>
          <w:color w:val="auto"/>
          <w:sz w:val="32"/>
          <w:szCs w:val="32"/>
          <w:lang w:val="en-US" w:eastAsia="zh-CN"/>
        </w:rPr>
        <w:t>危险废物安全“百日攻坚”冬季行动</w:t>
      </w:r>
      <w:r>
        <w:rPr>
          <w:rFonts w:hint="default" w:ascii="仿宋_GB2312" w:hAnsi="仿宋_GB2312" w:eastAsia="仿宋_GB2312" w:cs="仿宋_GB2312"/>
          <w:color w:val="auto"/>
          <w:sz w:val="32"/>
          <w:szCs w:val="32"/>
          <w:lang w:val="en-US" w:eastAsia="zh-CN"/>
        </w:rPr>
        <w:t>领导组负责持续深入开展重大隐患专项排查整治行动和</w:t>
      </w:r>
      <w:r>
        <w:rPr>
          <w:rFonts w:hint="eastAsia" w:ascii="仿宋_GB2312" w:hAnsi="仿宋_GB2312" w:eastAsia="仿宋_GB2312" w:cs="仿宋_GB2312"/>
          <w:color w:val="auto"/>
          <w:sz w:val="32"/>
          <w:szCs w:val="32"/>
          <w:lang w:val="en-US" w:eastAsia="zh-CN"/>
        </w:rPr>
        <w:t>危险废物</w:t>
      </w:r>
      <w:r>
        <w:rPr>
          <w:rFonts w:hint="default" w:ascii="仿宋_GB2312" w:hAnsi="仿宋_GB2312" w:eastAsia="仿宋_GB2312" w:cs="仿宋_GB2312"/>
          <w:color w:val="auto"/>
          <w:sz w:val="32"/>
          <w:szCs w:val="32"/>
          <w:lang w:val="en-US" w:eastAsia="zh-CN"/>
        </w:rPr>
        <w:t>安全“百日攻坚”冬季行动。</w:t>
      </w:r>
    </w:p>
    <w:p w14:paraId="3C82DBC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（三）转变工作作风。</w:t>
      </w:r>
      <w:r>
        <w:rPr>
          <w:rFonts w:hint="eastAsia" w:ascii="仿宋_GB2312" w:hAnsi="仿宋_GB2312" w:eastAsia="仿宋_GB2312" w:cs="仿宋_GB2312"/>
          <w:color w:val="auto"/>
          <w:sz w:val="32"/>
          <w:szCs w:val="32"/>
          <w:lang w:val="en-US" w:eastAsia="zh-CN"/>
        </w:rPr>
        <w:t>危险废物</w:t>
      </w:r>
      <w:r>
        <w:rPr>
          <w:rFonts w:hint="default" w:ascii="仿宋_GB2312" w:hAnsi="仿宋_GB2312" w:eastAsia="仿宋_GB2312" w:cs="仿宋_GB2312"/>
          <w:color w:val="auto"/>
          <w:sz w:val="32"/>
          <w:szCs w:val="32"/>
          <w:lang w:val="en-US" w:eastAsia="zh-CN"/>
        </w:rPr>
        <w:t>领域专项行动领导组要坚持眼睛向下、身子下沉、重心下移，深入一线开展督导检查，狠抓基层末梢安全责任落实；</w:t>
      </w:r>
      <w:r>
        <w:rPr>
          <w:rFonts w:hint="eastAsia" w:ascii="仿宋_GB2312" w:hAnsi="仿宋_GB2312" w:eastAsia="仿宋_GB2312" w:cs="仿宋_GB2312"/>
          <w:color w:val="auto"/>
          <w:sz w:val="32"/>
          <w:szCs w:val="32"/>
          <w:lang w:val="en-US" w:eastAsia="zh-CN"/>
        </w:rPr>
        <w:t>市生态环境局主要领导每月至少深入基层一线检查环境安全隐患不少于1次，班子成员每月至少深入基层一线检查环境安全隐患不少于2次，组织开展常态化抽查，对各县（市、区）分局进行</w:t>
      </w:r>
      <w:r>
        <w:rPr>
          <w:rFonts w:hint="default" w:ascii="仿宋_GB2312" w:hAnsi="仿宋_GB2312" w:eastAsia="仿宋_GB2312" w:cs="仿宋_GB2312"/>
          <w:color w:val="auto"/>
          <w:sz w:val="32"/>
          <w:szCs w:val="32"/>
          <w:lang w:val="en-US" w:eastAsia="zh-CN"/>
        </w:rPr>
        <w:t>不少于10%</w:t>
      </w:r>
      <w:r>
        <w:rPr>
          <w:rFonts w:hint="eastAsia" w:ascii="仿宋_GB2312" w:hAnsi="仿宋_GB2312" w:eastAsia="仿宋_GB2312" w:cs="仿宋_GB2312"/>
          <w:color w:val="auto"/>
          <w:sz w:val="32"/>
          <w:szCs w:val="32"/>
          <w:lang w:val="en-US" w:eastAsia="zh-CN"/>
        </w:rPr>
        <w:t>抽查检查，各县（市、区）分局领导参照执行，对所辖区企业开展100%全覆盖检查，层层传导工作压力，确保安全生产形势持续平稳。</w:t>
      </w:r>
    </w:p>
    <w:p w14:paraId="28951E48">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（四）强化信息报送。</w:t>
      </w:r>
    </w:p>
    <w:p w14:paraId="43817DA6">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各县（市、区）</w:t>
      </w:r>
      <w:r>
        <w:rPr>
          <w:rFonts w:hint="eastAsia" w:ascii="仿宋_GB2312" w:hAnsi="仿宋_GB2312" w:eastAsia="仿宋_GB2312" w:cs="仿宋_GB2312"/>
          <w:color w:val="auto"/>
          <w:sz w:val="32"/>
          <w:szCs w:val="32"/>
          <w:lang w:val="en-US" w:eastAsia="zh-CN"/>
        </w:rPr>
        <w:t>分局、各相关科室要</w:t>
      </w:r>
      <w:r>
        <w:rPr>
          <w:rFonts w:hint="default" w:ascii="仿宋_GB2312" w:hAnsi="仿宋_GB2312" w:eastAsia="仿宋_GB2312" w:cs="仿宋_GB2312"/>
          <w:color w:val="auto"/>
          <w:sz w:val="32"/>
          <w:szCs w:val="32"/>
          <w:lang w:val="en-US" w:eastAsia="zh-CN"/>
        </w:rPr>
        <w:t>及时收集汇总专项整治行动工作开展情况，每月</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24</w:t>
      </w:r>
      <w:r>
        <w:rPr>
          <w:rFonts w:hint="default"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val="en-US" w:eastAsia="zh-CN"/>
        </w:rPr>
        <w:t>前</w:t>
      </w:r>
      <w:r>
        <w:rPr>
          <w:rFonts w:hint="default" w:ascii="仿宋_GB2312" w:hAnsi="仿宋_GB2312" w:eastAsia="仿宋_GB2312" w:cs="仿宋_GB2312"/>
          <w:color w:val="auto"/>
          <w:sz w:val="32"/>
          <w:szCs w:val="32"/>
          <w:lang w:val="en-US" w:eastAsia="zh-CN"/>
        </w:rPr>
        <w:t>向市</w:t>
      </w:r>
      <w:r>
        <w:rPr>
          <w:rFonts w:hint="eastAsia" w:ascii="仿宋_GB2312" w:hAnsi="仿宋_GB2312" w:eastAsia="仿宋_GB2312" w:cs="仿宋_GB2312"/>
          <w:color w:val="auto"/>
          <w:sz w:val="32"/>
          <w:szCs w:val="32"/>
          <w:lang w:val="en-US" w:eastAsia="zh-CN"/>
        </w:rPr>
        <w:t>局环境应急科</w:t>
      </w:r>
      <w:r>
        <w:rPr>
          <w:rFonts w:hint="default" w:ascii="仿宋_GB2312" w:hAnsi="仿宋_GB2312" w:eastAsia="仿宋_GB2312" w:cs="仿宋_GB2312"/>
          <w:color w:val="auto"/>
          <w:sz w:val="32"/>
          <w:szCs w:val="32"/>
          <w:lang w:val="en-US" w:eastAsia="zh-CN"/>
        </w:rPr>
        <w:t>报送工作进展及</w:t>
      </w:r>
      <w:r>
        <w:rPr>
          <w:rFonts w:hint="eastAsia" w:ascii="仿宋_GB2312" w:hAnsi="仿宋_GB2312" w:eastAsia="仿宋_GB2312" w:cs="仿宋_GB2312"/>
          <w:color w:val="auto"/>
          <w:sz w:val="32"/>
          <w:szCs w:val="32"/>
          <w:lang w:val="en-US" w:eastAsia="zh-CN"/>
        </w:rPr>
        <w:t>“百日攻坚”冬季行动阶段性进展和重点任务清单，</w:t>
      </w:r>
      <w:r>
        <w:rPr>
          <w:rFonts w:hint="default" w:ascii="仿宋_GB2312" w:hAnsi="仿宋_GB2312" w:eastAsia="仿宋_GB2312" w:cs="仿宋_GB2312"/>
          <w:color w:val="auto"/>
          <w:sz w:val="32"/>
          <w:szCs w:val="32"/>
          <w:lang w:val="en-US" w:eastAsia="zh-CN"/>
        </w:rPr>
        <w:t>2024年2月</w:t>
      </w:r>
      <w:r>
        <w:rPr>
          <w:rFonts w:hint="eastAsia" w:ascii="仿宋_GB2312" w:hAnsi="仿宋_GB2312" w:eastAsia="仿宋_GB2312" w:cs="仿宋_GB2312"/>
          <w:color w:val="auto"/>
          <w:sz w:val="32"/>
          <w:szCs w:val="32"/>
          <w:lang w:val="en-US" w:eastAsia="zh-CN"/>
        </w:rPr>
        <w:t>19</w:t>
      </w:r>
      <w:r>
        <w:rPr>
          <w:rFonts w:hint="default" w:ascii="仿宋_GB2312" w:hAnsi="仿宋_GB2312" w:eastAsia="仿宋_GB2312" w:cs="仿宋_GB2312"/>
          <w:color w:val="auto"/>
          <w:sz w:val="32"/>
          <w:szCs w:val="32"/>
          <w:lang w:val="en-US" w:eastAsia="zh-CN"/>
        </w:rPr>
        <w:t>日前报送专项行动工作总结。</w:t>
      </w:r>
    </w:p>
    <w:p w14:paraId="4EB9F8F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市生态环境局</w:t>
      </w:r>
      <w:r>
        <w:rPr>
          <w:rFonts w:hint="default" w:ascii="仿宋_GB2312" w:hAnsi="仿宋_GB2312" w:eastAsia="仿宋_GB2312" w:cs="仿宋_GB2312"/>
          <w:color w:val="auto"/>
          <w:sz w:val="32"/>
          <w:szCs w:val="32"/>
          <w:lang w:val="en-US" w:eastAsia="zh-CN"/>
        </w:rPr>
        <w:t>“百日攻坚”冬季行动重点任务清单</w:t>
      </w:r>
    </w:p>
    <w:p w14:paraId="20C144F5">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p>
    <w:p w14:paraId="1AB6DB70">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14:paraId="5F0517D7">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晋城市生态环境局</w:t>
      </w:r>
    </w:p>
    <w:p w14:paraId="5690093C">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2023年11月27日</w:t>
      </w:r>
    </w:p>
    <w:p w14:paraId="0B3CF452">
      <w:pPr>
        <w:keepNext w:val="0"/>
        <w:keepLines w:val="0"/>
        <w:pageBreakBefore w:val="0"/>
        <w:widowControl/>
        <w:suppressLineNumbers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sectPr>
          <w:footerReference r:id="rId3" w:type="default"/>
          <w:pgSz w:w="11906" w:h="16838"/>
          <w:pgMar w:top="1701" w:right="1474" w:bottom="1587" w:left="1531" w:header="851" w:footer="992" w:gutter="0"/>
          <w:pgNumType w:fmt="numberInDash" w:start="2"/>
          <w:cols w:space="425" w:num="1"/>
          <w:docGrid w:type="lines" w:linePitch="312" w:charSpace="0"/>
        </w:sectPr>
      </w:pPr>
    </w:p>
    <w:p w14:paraId="028A71CE">
      <w:pPr>
        <w:keepNext w:val="0"/>
        <w:keepLines w:val="0"/>
        <w:widowControl/>
        <w:suppressLineNumbers w:val="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市生态环境局“百日攻坚”冬季行动重点任务清单</w:t>
      </w:r>
    </w:p>
    <w:tbl>
      <w:tblPr>
        <w:tblStyle w:val="7"/>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9"/>
        <w:gridCol w:w="1411"/>
        <w:gridCol w:w="180"/>
        <w:gridCol w:w="1155"/>
        <w:gridCol w:w="330"/>
        <w:gridCol w:w="5024"/>
        <w:gridCol w:w="841"/>
        <w:gridCol w:w="569"/>
        <w:gridCol w:w="766"/>
        <w:gridCol w:w="539"/>
        <w:gridCol w:w="751"/>
        <w:gridCol w:w="1199"/>
        <w:gridCol w:w="900"/>
      </w:tblGrid>
      <w:tr w14:paraId="6F0C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35" w:type="dxa"/>
            <w:gridSpan w:val="7"/>
            <w:vAlign w:val="center"/>
          </w:tcPr>
          <w:p w14:paraId="3A18A4C3">
            <w:pPr>
              <w:keepNext w:val="0"/>
              <w:keepLines w:val="0"/>
              <w:widowControl/>
              <w:suppressLineNumbers w:val="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44AADCFC">
            <w:pPr>
              <w:keepNext w:val="0"/>
              <w:keepLines w:val="0"/>
              <w:widowControl/>
              <w:suppressLineNumbers w:val="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3302FD8D">
            <w:pPr>
              <w:keepNext w:val="0"/>
              <w:keepLines w:val="0"/>
              <w:widowControl/>
              <w:suppressLineNumbers w:val="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落实清单</w:t>
            </w:r>
          </w:p>
        </w:tc>
      </w:tr>
      <w:tr w14:paraId="4FEF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133F4BA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6DA58025">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2A3054DD">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05EA78C1">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1F6259A5">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551CA724">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335D9410">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2BEAEBAC">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是否完成</w:t>
            </w:r>
          </w:p>
        </w:tc>
      </w:tr>
      <w:tr w14:paraId="1EE6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35" w:type="dxa"/>
            <w:gridSpan w:val="2"/>
            <w:vAlign w:val="center"/>
          </w:tcPr>
          <w:p w14:paraId="27C16EA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591" w:type="dxa"/>
            <w:gridSpan w:val="2"/>
            <w:vMerge w:val="restart"/>
            <w:vAlign w:val="center"/>
          </w:tcPr>
          <w:p w14:paraId="1BDB8D2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开展安全意识大教育活动，稳步推进应急能力提升攻坚战</w:t>
            </w:r>
          </w:p>
        </w:tc>
        <w:tc>
          <w:tcPr>
            <w:tcW w:w="1485" w:type="dxa"/>
            <w:gridSpan w:val="2"/>
            <w:vAlign w:val="center"/>
          </w:tcPr>
          <w:p w14:paraId="78A5110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组织宣传教育</w:t>
            </w:r>
          </w:p>
        </w:tc>
        <w:tc>
          <w:tcPr>
            <w:tcW w:w="5024" w:type="dxa"/>
          </w:tcPr>
          <w:p w14:paraId="00E68D5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党组理论学习中心组要深入学习习近平总书记近三年来对生产安全事故重要指示和有关安全生产重要论述，班子成员对照要求和职责谈体会、找差距。</w:t>
            </w:r>
          </w:p>
        </w:tc>
        <w:tc>
          <w:tcPr>
            <w:tcW w:w="1410" w:type="dxa"/>
            <w:gridSpan w:val="2"/>
            <w:vAlign w:val="center"/>
          </w:tcPr>
          <w:p w14:paraId="3623B4D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局党办</w:t>
            </w:r>
          </w:p>
        </w:tc>
        <w:tc>
          <w:tcPr>
            <w:tcW w:w="1305" w:type="dxa"/>
            <w:gridSpan w:val="2"/>
            <w:vAlign w:val="center"/>
          </w:tcPr>
          <w:p w14:paraId="16CA2F6C">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3E63D60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05BE839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29DC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35" w:type="dxa"/>
            <w:gridSpan w:val="2"/>
            <w:vAlign w:val="center"/>
          </w:tcPr>
          <w:p w14:paraId="7EA57E40">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591" w:type="dxa"/>
            <w:gridSpan w:val="2"/>
            <w:vMerge w:val="continue"/>
            <w:vAlign w:val="center"/>
          </w:tcPr>
          <w:p w14:paraId="54EFA3C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071E554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开展警示教育</w:t>
            </w:r>
          </w:p>
        </w:tc>
        <w:tc>
          <w:tcPr>
            <w:tcW w:w="5024" w:type="dxa"/>
            <w:vAlign w:val="center"/>
          </w:tcPr>
          <w:p w14:paraId="602C46A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召开全局安全生产警示教育大会，收集制作并免费发放典型事故案例警示教育片，组织集中观看。</w:t>
            </w:r>
          </w:p>
        </w:tc>
        <w:tc>
          <w:tcPr>
            <w:tcW w:w="1410" w:type="dxa"/>
            <w:gridSpan w:val="2"/>
            <w:vAlign w:val="center"/>
          </w:tcPr>
          <w:p w14:paraId="1BF988E7">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应急科</w:t>
            </w:r>
          </w:p>
        </w:tc>
        <w:tc>
          <w:tcPr>
            <w:tcW w:w="1305" w:type="dxa"/>
            <w:gridSpan w:val="2"/>
            <w:vAlign w:val="center"/>
          </w:tcPr>
          <w:p w14:paraId="3E0F713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0B6E886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428F6AAC">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4479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735" w:type="dxa"/>
            <w:gridSpan w:val="2"/>
            <w:vAlign w:val="center"/>
          </w:tcPr>
          <w:p w14:paraId="3B1CD31A">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591" w:type="dxa"/>
            <w:gridSpan w:val="2"/>
            <w:vMerge w:val="continue"/>
            <w:vAlign w:val="center"/>
          </w:tcPr>
          <w:p w14:paraId="4A06EF7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6D468F60">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组织专题培训</w:t>
            </w:r>
          </w:p>
        </w:tc>
        <w:tc>
          <w:tcPr>
            <w:tcW w:w="5024" w:type="dxa"/>
            <w:vAlign w:val="center"/>
          </w:tcPr>
          <w:p w14:paraId="5C8FF914">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市局及各分局要分别组织各级党政领导、监管执法人员、干部职工开展不少于一天的安全生产知识和技能培训。2市局负责组织单位全体干部职工进行火灾防范专题教育培训，各县（市、区分局）重点组织各生产经营单位主要负责人、分管安全负责人、本单位全体干部职工进行火灾防范专题教育培训。</w:t>
            </w:r>
          </w:p>
        </w:tc>
        <w:tc>
          <w:tcPr>
            <w:tcW w:w="1410" w:type="dxa"/>
            <w:gridSpan w:val="2"/>
            <w:vAlign w:val="center"/>
          </w:tcPr>
          <w:p w14:paraId="202763E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各分局、环境应急科</w:t>
            </w:r>
          </w:p>
        </w:tc>
        <w:tc>
          <w:tcPr>
            <w:tcW w:w="1305" w:type="dxa"/>
            <w:gridSpan w:val="2"/>
            <w:vAlign w:val="center"/>
          </w:tcPr>
          <w:p w14:paraId="73964A3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4DCD0EEC">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6FA1E6E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56FE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835" w:type="dxa"/>
            <w:gridSpan w:val="7"/>
            <w:vAlign w:val="center"/>
          </w:tcPr>
          <w:p w14:paraId="63AAE127">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3B660138">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0F620DF4">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50D1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5" w:type="dxa"/>
            <w:gridSpan w:val="2"/>
            <w:vAlign w:val="center"/>
          </w:tcPr>
          <w:p w14:paraId="2C262C2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4339FF7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1124CB98">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489AAC2B">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5C03215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657A0D42">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7B0F091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5BEA2556">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60E7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35" w:type="dxa"/>
            <w:gridSpan w:val="2"/>
            <w:vAlign w:val="center"/>
          </w:tcPr>
          <w:p w14:paraId="63E6E48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1591" w:type="dxa"/>
            <w:gridSpan w:val="2"/>
            <w:vMerge w:val="restart"/>
            <w:vAlign w:val="center"/>
          </w:tcPr>
          <w:p w14:paraId="564DD9B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开展安全意识大教育活动，稳步推进应急能力提升攻坚战</w:t>
            </w:r>
          </w:p>
        </w:tc>
        <w:tc>
          <w:tcPr>
            <w:tcW w:w="1485" w:type="dxa"/>
            <w:gridSpan w:val="2"/>
            <w:vAlign w:val="center"/>
          </w:tcPr>
          <w:p w14:paraId="727AED4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完成有限空间作业教育培训任务</w:t>
            </w:r>
          </w:p>
        </w:tc>
        <w:tc>
          <w:tcPr>
            <w:tcW w:w="5024" w:type="dxa"/>
            <w:vAlign w:val="center"/>
          </w:tcPr>
          <w:p w14:paraId="4F1A627C">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指导生产经营单位开展有限空间作业负责人、监护人员、作业人员、应急救援人员和临时工、外包单位人员的教育培训，包括初次教育、年度再培训教育等。要确保培训时间、内容、参训人员考勤签字、教师授课等记录与实际相一致。</w:t>
            </w:r>
          </w:p>
        </w:tc>
        <w:tc>
          <w:tcPr>
            <w:tcW w:w="1410" w:type="dxa"/>
            <w:gridSpan w:val="2"/>
            <w:vAlign w:val="center"/>
          </w:tcPr>
          <w:p w14:paraId="3A1B9F25">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w:t>
            </w:r>
          </w:p>
        </w:tc>
        <w:tc>
          <w:tcPr>
            <w:tcW w:w="1305" w:type="dxa"/>
            <w:gridSpan w:val="2"/>
            <w:vAlign w:val="center"/>
          </w:tcPr>
          <w:p w14:paraId="6F46AFB4">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11月30日</w:t>
            </w:r>
          </w:p>
        </w:tc>
        <w:tc>
          <w:tcPr>
            <w:tcW w:w="1950" w:type="dxa"/>
            <w:gridSpan w:val="2"/>
            <w:vAlign w:val="center"/>
          </w:tcPr>
          <w:p w14:paraId="673B644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692A60C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120B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35" w:type="dxa"/>
            <w:gridSpan w:val="2"/>
            <w:vAlign w:val="center"/>
          </w:tcPr>
          <w:p w14:paraId="071AA68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1591" w:type="dxa"/>
            <w:gridSpan w:val="2"/>
            <w:vMerge w:val="continue"/>
            <w:vAlign w:val="center"/>
          </w:tcPr>
          <w:p w14:paraId="5E7B565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4BDB5F6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深入开展安全“五进”活动</w:t>
            </w:r>
          </w:p>
        </w:tc>
        <w:tc>
          <w:tcPr>
            <w:tcW w:w="5024" w:type="dxa"/>
            <w:vAlign w:val="center"/>
          </w:tcPr>
          <w:p w14:paraId="600167D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在主流媒体开设专题专栏；各分局要充分利用各类宣传媒介和载体开展风险防范、隐患排查、应急处置和自救互救等安全常识宣传，提升全民安全意识。</w:t>
            </w:r>
          </w:p>
        </w:tc>
        <w:tc>
          <w:tcPr>
            <w:tcW w:w="1410" w:type="dxa"/>
            <w:gridSpan w:val="2"/>
            <w:vAlign w:val="center"/>
          </w:tcPr>
          <w:p w14:paraId="53BE7DC0">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各分局、应急科、宣教科、办公室</w:t>
            </w:r>
          </w:p>
        </w:tc>
        <w:tc>
          <w:tcPr>
            <w:tcW w:w="1305" w:type="dxa"/>
            <w:gridSpan w:val="2"/>
            <w:vAlign w:val="center"/>
          </w:tcPr>
          <w:p w14:paraId="597FF60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73CAEB9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547507C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2B3F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5" w:type="dxa"/>
            <w:gridSpan w:val="2"/>
            <w:vAlign w:val="center"/>
          </w:tcPr>
          <w:p w14:paraId="47E0D68D">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1591" w:type="dxa"/>
            <w:gridSpan w:val="2"/>
            <w:vMerge w:val="continue"/>
            <w:vAlign w:val="center"/>
          </w:tcPr>
          <w:p w14:paraId="113372A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58C365EA">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加强应急演练和预案管理</w:t>
            </w:r>
          </w:p>
        </w:tc>
        <w:tc>
          <w:tcPr>
            <w:tcW w:w="5024" w:type="dxa"/>
            <w:vAlign w:val="center"/>
          </w:tcPr>
          <w:p w14:paraId="7271FECF">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针对本单位易发事故种类，组织开展疏散逃生和应急救援演练，熟悉应急逃生疏散通道，提升干部职工自救互救能力。</w:t>
            </w:r>
          </w:p>
        </w:tc>
        <w:tc>
          <w:tcPr>
            <w:tcW w:w="1410" w:type="dxa"/>
            <w:gridSpan w:val="2"/>
            <w:vAlign w:val="center"/>
          </w:tcPr>
          <w:p w14:paraId="5884968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各分局、应急科、办公室</w:t>
            </w:r>
          </w:p>
        </w:tc>
        <w:tc>
          <w:tcPr>
            <w:tcW w:w="1305" w:type="dxa"/>
            <w:gridSpan w:val="2"/>
            <w:vAlign w:val="center"/>
          </w:tcPr>
          <w:p w14:paraId="3ABF1CF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280D6E9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2BEB46D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2F96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32EAC271">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1591" w:type="dxa"/>
            <w:gridSpan w:val="2"/>
            <w:vMerge w:val="continue"/>
            <w:vAlign w:val="center"/>
          </w:tcPr>
          <w:p w14:paraId="3CB16F4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49E94EB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加强应急演练和预案管理</w:t>
            </w:r>
          </w:p>
        </w:tc>
        <w:tc>
          <w:tcPr>
            <w:tcW w:w="5024" w:type="dxa"/>
            <w:vAlign w:val="center"/>
          </w:tcPr>
          <w:p w14:paraId="6BA26B6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按照分级分类监管要求和《山西省企业事业单位突发环境事件应急预案备案行业名录（试行）》，强化所辖企业突发环境事件应急预案备案，依法查处未按要求编制或修订突发环境事件应急预案的企事业单位，责令其限期完成应急预案备案工作。</w:t>
            </w:r>
          </w:p>
        </w:tc>
        <w:tc>
          <w:tcPr>
            <w:tcW w:w="1410" w:type="dxa"/>
            <w:gridSpan w:val="2"/>
            <w:vAlign w:val="center"/>
          </w:tcPr>
          <w:p w14:paraId="1E1E4E8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各分局、执法队、应急科</w:t>
            </w:r>
          </w:p>
        </w:tc>
        <w:tc>
          <w:tcPr>
            <w:tcW w:w="1305" w:type="dxa"/>
            <w:gridSpan w:val="2"/>
            <w:vAlign w:val="center"/>
          </w:tcPr>
          <w:p w14:paraId="289DBEA9">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229A118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182A0F69">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3E3A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39591176">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613A62D2">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2E0767C3">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4CB8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4CB57837">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7651FD8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213647F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13E19F2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44DE364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737C59E4">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76A2E430">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01B2CD02">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1AFF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0892C1AD">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1591" w:type="dxa"/>
            <w:gridSpan w:val="2"/>
            <w:vMerge w:val="restart"/>
            <w:vAlign w:val="center"/>
          </w:tcPr>
          <w:p w14:paraId="28EF604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开展安全意识大教育活动，稳步推进应急能力提升攻坚战</w:t>
            </w:r>
          </w:p>
        </w:tc>
        <w:tc>
          <w:tcPr>
            <w:tcW w:w="1485" w:type="dxa"/>
            <w:gridSpan w:val="2"/>
            <w:vAlign w:val="center"/>
          </w:tcPr>
          <w:p w14:paraId="37E3381C">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加强应急演练和预案管理</w:t>
            </w:r>
          </w:p>
        </w:tc>
        <w:tc>
          <w:tcPr>
            <w:tcW w:w="5024" w:type="dxa"/>
            <w:vAlign w:val="center"/>
          </w:tcPr>
          <w:p w14:paraId="2BBBB6B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各生产经营单位要建立事故预警、应急值守、信息报</w:t>
            </w:r>
            <w:r>
              <w:rPr>
                <w:rFonts w:hint="default" w:ascii="仿宋_GB2312" w:hAnsi="仿宋_GB2312" w:eastAsia="仿宋_GB2312" w:cs="仿宋_GB2312"/>
                <w:color w:val="auto"/>
                <w:sz w:val="24"/>
                <w:szCs w:val="24"/>
                <w:vertAlign w:val="baseline"/>
                <w:lang w:val="en-US" w:eastAsia="zh-CN"/>
              </w:rPr>
              <w:t>告、现场处置、应急投入、救援装备和物资储备等规章制度；</w:t>
            </w:r>
            <w:r>
              <w:rPr>
                <w:rFonts w:hint="eastAsia" w:ascii="仿宋_GB2312" w:hAnsi="仿宋_GB2312" w:eastAsia="仿宋_GB2312" w:cs="仿宋_GB2312"/>
                <w:color w:val="auto"/>
                <w:sz w:val="24"/>
                <w:szCs w:val="24"/>
                <w:vertAlign w:val="baseline"/>
                <w:lang w:val="en-US" w:eastAsia="zh-CN"/>
              </w:rPr>
              <w:t>按时开展突发环境事件应急演练</w:t>
            </w:r>
            <w:r>
              <w:rPr>
                <w:rFonts w:hint="default" w:ascii="仿宋_GB2312" w:hAnsi="仿宋_GB2312" w:eastAsia="仿宋_GB2312" w:cs="仿宋_GB2312"/>
                <w:color w:val="auto"/>
                <w:sz w:val="24"/>
                <w:szCs w:val="24"/>
                <w:vertAlign w:val="baseline"/>
                <w:lang w:val="en-US" w:eastAsia="zh-CN"/>
              </w:rPr>
              <w:t>；高危企业每半年至少演练一次；其他企业每年至少演练一次</w:t>
            </w:r>
            <w:r>
              <w:rPr>
                <w:rFonts w:hint="eastAsia" w:ascii="仿宋_GB2312" w:hAnsi="仿宋_GB2312" w:eastAsia="仿宋_GB2312" w:cs="仿宋_GB2312"/>
                <w:color w:val="auto"/>
                <w:sz w:val="24"/>
                <w:szCs w:val="24"/>
                <w:vertAlign w:val="baseline"/>
                <w:lang w:val="en-US" w:eastAsia="zh-CN"/>
              </w:rPr>
              <w:t>。</w:t>
            </w:r>
          </w:p>
        </w:tc>
        <w:tc>
          <w:tcPr>
            <w:tcW w:w="1410" w:type="dxa"/>
            <w:gridSpan w:val="2"/>
            <w:vAlign w:val="center"/>
          </w:tcPr>
          <w:p w14:paraId="36B9262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w:t>
            </w:r>
          </w:p>
        </w:tc>
        <w:tc>
          <w:tcPr>
            <w:tcW w:w="1305" w:type="dxa"/>
            <w:gridSpan w:val="2"/>
            <w:vAlign w:val="center"/>
          </w:tcPr>
          <w:p w14:paraId="1A840BD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179F6C1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74C6A0E9">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5894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6BE974F4">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1591" w:type="dxa"/>
            <w:gridSpan w:val="2"/>
            <w:vMerge w:val="continue"/>
            <w:vAlign w:val="center"/>
          </w:tcPr>
          <w:p w14:paraId="217F071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0E19C30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完善应急指挥部办公室工作规则</w:t>
            </w:r>
          </w:p>
        </w:tc>
        <w:tc>
          <w:tcPr>
            <w:tcW w:w="5024" w:type="dxa"/>
            <w:vAlign w:val="center"/>
          </w:tcPr>
          <w:p w14:paraId="1AB27E4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要</w:t>
            </w:r>
            <w:r>
              <w:rPr>
                <w:rFonts w:hint="default" w:ascii="仿宋_GB2312" w:hAnsi="仿宋_GB2312" w:eastAsia="仿宋_GB2312" w:cs="仿宋_GB2312"/>
                <w:color w:val="auto"/>
                <w:sz w:val="24"/>
                <w:szCs w:val="24"/>
                <w:vertAlign w:val="baseline"/>
                <w:lang w:val="en-US" w:eastAsia="zh-CN"/>
              </w:rPr>
              <w:t>明确相关</w:t>
            </w:r>
            <w:r>
              <w:rPr>
                <w:rFonts w:hint="eastAsia" w:ascii="仿宋_GB2312" w:hAnsi="仿宋_GB2312" w:eastAsia="仿宋_GB2312" w:cs="仿宋_GB2312"/>
                <w:color w:val="auto"/>
                <w:sz w:val="24"/>
                <w:szCs w:val="24"/>
                <w:vertAlign w:val="baseline"/>
                <w:lang w:val="en-US" w:eastAsia="zh-CN"/>
              </w:rPr>
              <w:t>单位</w:t>
            </w:r>
            <w:r>
              <w:rPr>
                <w:rFonts w:hint="default" w:ascii="仿宋_GB2312" w:hAnsi="仿宋_GB2312" w:eastAsia="仿宋_GB2312" w:cs="仿宋_GB2312"/>
                <w:color w:val="auto"/>
                <w:sz w:val="24"/>
                <w:szCs w:val="24"/>
                <w:vertAlign w:val="baseline"/>
                <w:lang w:val="en-US" w:eastAsia="zh-CN"/>
              </w:rPr>
              <w:t>、人员</w:t>
            </w:r>
            <w:r>
              <w:rPr>
                <w:rFonts w:hint="eastAsia" w:ascii="仿宋_GB2312" w:hAnsi="仿宋_GB2312" w:eastAsia="仿宋_GB2312" w:cs="仿宋_GB2312"/>
                <w:color w:val="auto"/>
                <w:sz w:val="24"/>
                <w:szCs w:val="24"/>
                <w:vertAlign w:val="baseline"/>
                <w:lang w:val="en-US" w:eastAsia="zh-CN"/>
              </w:rPr>
              <w:t>防火、防汛、地质灾害、生产安全事故、交通运输事故等</w:t>
            </w:r>
            <w:r>
              <w:rPr>
                <w:rFonts w:hint="default" w:ascii="仿宋_GB2312" w:hAnsi="仿宋_GB2312" w:eastAsia="仿宋_GB2312" w:cs="仿宋_GB2312"/>
                <w:color w:val="auto"/>
                <w:sz w:val="24"/>
                <w:szCs w:val="24"/>
                <w:vertAlign w:val="baseline"/>
                <w:lang w:val="en-US" w:eastAsia="zh-CN"/>
              </w:rPr>
              <w:t>应急职责、工作流程。</w:t>
            </w:r>
          </w:p>
        </w:tc>
        <w:tc>
          <w:tcPr>
            <w:tcW w:w="1410" w:type="dxa"/>
            <w:gridSpan w:val="2"/>
            <w:vAlign w:val="center"/>
          </w:tcPr>
          <w:p w14:paraId="6F6CA9A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应急科</w:t>
            </w:r>
          </w:p>
        </w:tc>
        <w:tc>
          <w:tcPr>
            <w:tcW w:w="1305" w:type="dxa"/>
            <w:gridSpan w:val="2"/>
            <w:vAlign w:val="center"/>
          </w:tcPr>
          <w:p w14:paraId="394C1172">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67C1F55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4E1D116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7629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3473C7D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1591" w:type="dxa"/>
            <w:gridSpan w:val="2"/>
            <w:vMerge w:val="restart"/>
            <w:vAlign w:val="center"/>
          </w:tcPr>
          <w:p w14:paraId="145D6C8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开展安全责任大落实活动，切实强化安全责任落实攻坚战</w:t>
            </w:r>
          </w:p>
        </w:tc>
        <w:tc>
          <w:tcPr>
            <w:tcW w:w="1485" w:type="dxa"/>
            <w:gridSpan w:val="2"/>
            <w:vAlign w:val="center"/>
          </w:tcPr>
          <w:p w14:paraId="608AB0E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深化重大事故隐患专项排查整治行动</w:t>
            </w:r>
          </w:p>
        </w:tc>
        <w:tc>
          <w:tcPr>
            <w:tcW w:w="5024" w:type="dxa"/>
            <w:vAlign w:val="center"/>
          </w:tcPr>
          <w:p w14:paraId="3D3CA42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持续深化重大事故隐患专项排查整治行动，将排查整治一批重大事故隐患，打击一批非法违法行为，查处一批违规动火、违法外包的企业，曝光一批典型案例、关闭一批不具备安全生产条件的企业、问责一批责任措施不落实的单位、出台一批管用实用的措施等“七个一批”，作为评价行动效果的重要指标进行考核，推动重大事故隐患专项排查整治行动取得实效。</w:t>
            </w:r>
          </w:p>
        </w:tc>
        <w:tc>
          <w:tcPr>
            <w:tcW w:w="1410" w:type="dxa"/>
            <w:gridSpan w:val="2"/>
            <w:vAlign w:val="center"/>
          </w:tcPr>
          <w:p w14:paraId="34459C0C">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各分局、应急科、局相关科室</w:t>
            </w:r>
          </w:p>
        </w:tc>
        <w:tc>
          <w:tcPr>
            <w:tcW w:w="1305" w:type="dxa"/>
            <w:gridSpan w:val="2"/>
            <w:vAlign w:val="center"/>
          </w:tcPr>
          <w:p w14:paraId="655F9211">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0033EF9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035094D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41AA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75CBB66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1591" w:type="dxa"/>
            <w:gridSpan w:val="2"/>
            <w:vMerge w:val="continue"/>
            <w:vAlign w:val="center"/>
          </w:tcPr>
          <w:p w14:paraId="32E7E55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3330284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严格落实党政领导责任</w:t>
            </w:r>
          </w:p>
        </w:tc>
        <w:tc>
          <w:tcPr>
            <w:tcW w:w="5024" w:type="dxa"/>
            <w:vAlign w:val="center"/>
          </w:tcPr>
          <w:p w14:paraId="01A9118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各级党政领导干部要对照安全生产“职责清单”和年度重点工作“任务清单”检视履职情况，并向党</w:t>
            </w:r>
            <w:r>
              <w:rPr>
                <w:rFonts w:hint="eastAsia" w:ascii="仿宋_GB2312" w:hAnsi="仿宋_GB2312" w:eastAsia="仿宋_GB2312" w:cs="仿宋_GB2312"/>
                <w:color w:val="auto"/>
                <w:sz w:val="24"/>
                <w:szCs w:val="24"/>
                <w:vertAlign w:val="baseline"/>
                <w:lang w:val="en-US" w:eastAsia="zh-CN"/>
              </w:rPr>
              <w:t>组</w:t>
            </w:r>
            <w:r>
              <w:rPr>
                <w:rFonts w:hint="default" w:ascii="仿宋_GB2312" w:hAnsi="仿宋_GB2312" w:eastAsia="仿宋_GB2312" w:cs="仿宋_GB2312"/>
                <w:color w:val="auto"/>
                <w:sz w:val="24"/>
                <w:szCs w:val="24"/>
                <w:vertAlign w:val="baseline"/>
                <w:lang w:val="en-US" w:eastAsia="zh-CN"/>
              </w:rPr>
              <w:t>主要负责同志进行安全生产履职情况述职，</w:t>
            </w:r>
            <w:r>
              <w:rPr>
                <w:rFonts w:hint="eastAsia" w:ascii="仿宋_GB2312" w:hAnsi="仿宋_GB2312" w:eastAsia="仿宋_GB2312" w:cs="仿宋_GB2312"/>
                <w:color w:val="auto"/>
                <w:sz w:val="24"/>
                <w:szCs w:val="24"/>
                <w:vertAlign w:val="baseline"/>
                <w:lang w:val="en-US" w:eastAsia="zh-CN"/>
              </w:rPr>
              <w:t>党组</w:t>
            </w:r>
            <w:r>
              <w:rPr>
                <w:rFonts w:hint="default" w:ascii="仿宋_GB2312" w:hAnsi="仿宋_GB2312" w:eastAsia="仿宋_GB2312" w:cs="仿宋_GB2312"/>
                <w:color w:val="auto"/>
                <w:sz w:val="24"/>
                <w:szCs w:val="24"/>
                <w:vertAlign w:val="baseline"/>
                <w:lang w:val="en-US" w:eastAsia="zh-CN"/>
              </w:rPr>
              <w:t>主要负责同志要对班子成员履职情况进行考核评定。</w:t>
            </w:r>
          </w:p>
        </w:tc>
        <w:tc>
          <w:tcPr>
            <w:tcW w:w="1410" w:type="dxa"/>
            <w:gridSpan w:val="2"/>
            <w:vAlign w:val="center"/>
          </w:tcPr>
          <w:p w14:paraId="2C34CFF9">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应急科</w:t>
            </w:r>
          </w:p>
        </w:tc>
        <w:tc>
          <w:tcPr>
            <w:tcW w:w="1305" w:type="dxa"/>
            <w:gridSpan w:val="2"/>
            <w:vAlign w:val="center"/>
          </w:tcPr>
          <w:p w14:paraId="54CFE69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79BE2A6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27CA937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2117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54655FB2">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400DE22C">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38CC53E6">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3D5E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1F6ABB90">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081157E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143E8DF3">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5BB2EC5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6944035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34FE2ACB">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0B4C48E4">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748D99B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5C8F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735" w:type="dxa"/>
            <w:gridSpan w:val="2"/>
            <w:vAlign w:val="center"/>
          </w:tcPr>
          <w:p w14:paraId="0F52FD8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1591" w:type="dxa"/>
            <w:gridSpan w:val="2"/>
            <w:vMerge w:val="restart"/>
            <w:vAlign w:val="center"/>
          </w:tcPr>
          <w:p w14:paraId="64D4972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开展安全责任大落实活动，切实强化安全责任落实攻坚战</w:t>
            </w:r>
          </w:p>
        </w:tc>
        <w:tc>
          <w:tcPr>
            <w:tcW w:w="1485" w:type="dxa"/>
            <w:gridSpan w:val="2"/>
            <w:vMerge w:val="restart"/>
            <w:vAlign w:val="center"/>
          </w:tcPr>
          <w:p w14:paraId="713776C5">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压紧压实部门监管责任</w:t>
            </w:r>
          </w:p>
        </w:tc>
        <w:tc>
          <w:tcPr>
            <w:tcW w:w="5024" w:type="dxa"/>
            <w:vAlign w:val="center"/>
          </w:tcPr>
          <w:p w14:paraId="7534EEF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健全完善联合执法工作机制，由各行业领域主管部门组织各相关单位对问题隐患突出的重点单位组织开展联合执法检查。加大暗查暗访、突击检查力度，借鉴生态环境保护督察经验，对违法行为和重大事故隐患现场录制影像资料，进行公开曝光，依法从严查处，形成震慑。加大执法力度，对执法检查发现的重大事故隐患和突出问题，依法实施限期整改、停产整顿、关闭取缔以及主要负责人和企业“一案双罚”等措施，坚持关口前移，对发现的瓦斯超限等极易引发事故的重大隐患，比照事故进行调查处理。</w:t>
            </w:r>
          </w:p>
        </w:tc>
        <w:tc>
          <w:tcPr>
            <w:tcW w:w="1410" w:type="dxa"/>
            <w:gridSpan w:val="2"/>
            <w:vAlign w:val="center"/>
          </w:tcPr>
          <w:p w14:paraId="05E1BB6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各分局、执法队</w:t>
            </w:r>
          </w:p>
        </w:tc>
        <w:tc>
          <w:tcPr>
            <w:tcW w:w="1305" w:type="dxa"/>
            <w:gridSpan w:val="2"/>
            <w:vAlign w:val="center"/>
          </w:tcPr>
          <w:p w14:paraId="56CF23B1">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12172EB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6EF6FB2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7CD9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35" w:type="dxa"/>
            <w:gridSpan w:val="2"/>
            <w:vAlign w:val="center"/>
          </w:tcPr>
          <w:p w14:paraId="539118A2">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1591" w:type="dxa"/>
            <w:gridSpan w:val="2"/>
            <w:vMerge w:val="continue"/>
            <w:vAlign w:val="center"/>
          </w:tcPr>
          <w:p w14:paraId="0B0B553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Merge w:val="continue"/>
            <w:vAlign w:val="center"/>
          </w:tcPr>
          <w:p w14:paraId="72EC74D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5024" w:type="dxa"/>
            <w:vAlign w:val="center"/>
          </w:tcPr>
          <w:p w14:paraId="3E318E9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强化专家技术支撑，各监管部门要带领专家团队，深入企业一线开展精查细查，指导帮助企业制定整改方案，强化问题跟踪整治。</w:t>
            </w:r>
          </w:p>
        </w:tc>
        <w:tc>
          <w:tcPr>
            <w:tcW w:w="1410" w:type="dxa"/>
            <w:gridSpan w:val="2"/>
            <w:vAlign w:val="center"/>
          </w:tcPr>
          <w:p w14:paraId="03FFF49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w:t>
            </w:r>
          </w:p>
        </w:tc>
        <w:tc>
          <w:tcPr>
            <w:tcW w:w="1305" w:type="dxa"/>
            <w:gridSpan w:val="2"/>
            <w:vAlign w:val="center"/>
          </w:tcPr>
          <w:p w14:paraId="396BC54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12月31日</w:t>
            </w:r>
          </w:p>
        </w:tc>
        <w:tc>
          <w:tcPr>
            <w:tcW w:w="1950" w:type="dxa"/>
            <w:gridSpan w:val="2"/>
            <w:vAlign w:val="center"/>
          </w:tcPr>
          <w:p w14:paraId="47C03BA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3DA8F5E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4EF5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35" w:type="dxa"/>
            <w:gridSpan w:val="2"/>
            <w:vAlign w:val="center"/>
          </w:tcPr>
          <w:p w14:paraId="3D5CAE9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1591" w:type="dxa"/>
            <w:gridSpan w:val="2"/>
            <w:vMerge w:val="continue"/>
            <w:vAlign w:val="center"/>
          </w:tcPr>
          <w:p w14:paraId="548CA91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1CDEB4E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加强组织领导</w:t>
            </w:r>
          </w:p>
        </w:tc>
        <w:tc>
          <w:tcPr>
            <w:tcW w:w="5024" w:type="dxa"/>
            <w:vAlign w:val="center"/>
          </w:tcPr>
          <w:p w14:paraId="46B3596D">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各行业领域成立由政府分管领导任组长的专项行动领导组。</w:t>
            </w:r>
          </w:p>
        </w:tc>
        <w:tc>
          <w:tcPr>
            <w:tcW w:w="1410" w:type="dxa"/>
            <w:gridSpan w:val="2"/>
            <w:vAlign w:val="center"/>
          </w:tcPr>
          <w:p w14:paraId="59E32036">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各分局、应急科</w:t>
            </w:r>
          </w:p>
        </w:tc>
        <w:tc>
          <w:tcPr>
            <w:tcW w:w="1305" w:type="dxa"/>
            <w:gridSpan w:val="2"/>
            <w:vAlign w:val="center"/>
          </w:tcPr>
          <w:p w14:paraId="30F17555">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11月10日</w:t>
            </w:r>
          </w:p>
        </w:tc>
        <w:tc>
          <w:tcPr>
            <w:tcW w:w="1950" w:type="dxa"/>
            <w:gridSpan w:val="2"/>
            <w:vAlign w:val="center"/>
          </w:tcPr>
          <w:p w14:paraId="2E0C144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7A6A64E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2BE4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17529893">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70A624AB">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23916D45">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196B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23B828E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23D4300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669D19B7">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446CEA9E">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6F60A99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5B62961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6B16756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5D42972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61E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735" w:type="dxa"/>
            <w:gridSpan w:val="2"/>
            <w:vAlign w:val="center"/>
          </w:tcPr>
          <w:p w14:paraId="52EE0D6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1591" w:type="dxa"/>
            <w:gridSpan w:val="2"/>
            <w:vMerge w:val="restart"/>
            <w:vAlign w:val="center"/>
          </w:tcPr>
          <w:p w14:paraId="46194C0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开展安全责任大落实活动，切实强化安全责任落实攻坚战</w:t>
            </w:r>
          </w:p>
        </w:tc>
        <w:tc>
          <w:tcPr>
            <w:tcW w:w="1485" w:type="dxa"/>
            <w:gridSpan w:val="2"/>
            <w:vAlign w:val="center"/>
          </w:tcPr>
          <w:p w14:paraId="788E5C46">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严格严肃追责问责</w:t>
            </w:r>
          </w:p>
        </w:tc>
        <w:tc>
          <w:tcPr>
            <w:tcW w:w="5024" w:type="dxa"/>
            <w:vAlign w:val="center"/>
          </w:tcPr>
          <w:p w14:paraId="0EDF1E50">
            <w:pPr>
              <w:keepNext w:val="0"/>
              <w:keepLines w:val="0"/>
              <w:widowControl/>
              <w:suppressLineNumbers w:val="0"/>
              <w:jc w:val="center"/>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一是对安全发展理念树的不牢、责任落实不到位、隐患排查整治不力，以及工作滞后、推诿扯皮、敷衍塞责的，进行曝光、通报、约谈。二是对非法违法生产经营建设行为和重大事故隐患，存在应发现未发现、应处罚未处罚等执法“放水”行为的，要移送纪委监委、组织、公安等部门追责问责。三是对不认真履行职责，发生较大以上生产安全事故的，不仅要追究直接责任人责任，而且要追究地方党委和政府领导责任、有关部门的监管责任。</w:t>
            </w:r>
          </w:p>
        </w:tc>
        <w:tc>
          <w:tcPr>
            <w:tcW w:w="1410" w:type="dxa"/>
            <w:gridSpan w:val="2"/>
            <w:vAlign w:val="center"/>
          </w:tcPr>
          <w:p w14:paraId="1B7C8FE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机关纪委</w:t>
            </w:r>
          </w:p>
        </w:tc>
        <w:tc>
          <w:tcPr>
            <w:tcW w:w="1305" w:type="dxa"/>
            <w:gridSpan w:val="2"/>
            <w:vAlign w:val="center"/>
          </w:tcPr>
          <w:p w14:paraId="3ADAAA7B">
            <w:pPr>
              <w:keepNext w:val="0"/>
              <w:keepLines w:val="0"/>
              <w:widowControl/>
              <w:suppressLineNumbers w:val="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长期坚持</w:t>
            </w:r>
          </w:p>
        </w:tc>
        <w:tc>
          <w:tcPr>
            <w:tcW w:w="1950" w:type="dxa"/>
            <w:gridSpan w:val="2"/>
            <w:vAlign w:val="center"/>
          </w:tcPr>
          <w:p w14:paraId="0F00834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34237D8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1EB0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735" w:type="dxa"/>
            <w:gridSpan w:val="2"/>
            <w:vAlign w:val="center"/>
          </w:tcPr>
          <w:p w14:paraId="79BFBB61">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1591" w:type="dxa"/>
            <w:gridSpan w:val="2"/>
            <w:vMerge w:val="continue"/>
            <w:vAlign w:val="center"/>
          </w:tcPr>
          <w:p w14:paraId="4FAE310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5836AE0E">
            <w:pPr>
              <w:keepNext w:val="0"/>
              <w:keepLines w:val="0"/>
              <w:widowControl/>
              <w:suppressLineNumbers w:val="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及时安排部署</w:t>
            </w:r>
          </w:p>
        </w:tc>
        <w:tc>
          <w:tcPr>
            <w:tcW w:w="5024" w:type="dxa"/>
            <w:vAlign w:val="center"/>
          </w:tcPr>
          <w:p w14:paraId="1C0ED2EE">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各相关部门结合实际出台冬季行动方案，主要负责人亲自如开专题会议动员部署到位</w:t>
            </w:r>
          </w:p>
        </w:tc>
        <w:tc>
          <w:tcPr>
            <w:tcW w:w="1410" w:type="dxa"/>
            <w:gridSpan w:val="2"/>
            <w:vAlign w:val="center"/>
          </w:tcPr>
          <w:p w14:paraId="4D2D5762">
            <w:pPr>
              <w:keepNext w:val="0"/>
              <w:keepLines w:val="0"/>
              <w:widowControl/>
              <w:suppressLineNumbers w:val="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各分局、应急科</w:t>
            </w:r>
          </w:p>
        </w:tc>
        <w:tc>
          <w:tcPr>
            <w:tcW w:w="1305" w:type="dxa"/>
            <w:gridSpan w:val="2"/>
            <w:vAlign w:val="center"/>
          </w:tcPr>
          <w:p w14:paraId="61C171F9">
            <w:pPr>
              <w:keepNext w:val="0"/>
              <w:keepLines w:val="0"/>
              <w:widowControl/>
              <w:suppressLineNumbers w:val="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11月10日</w:t>
            </w:r>
          </w:p>
        </w:tc>
        <w:tc>
          <w:tcPr>
            <w:tcW w:w="1950" w:type="dxa"/>
            <w:gridSpan w:val="2"/>
            <w:vAlign w:val="center"/>
          </w:tcPr>
          <w:p w14:paraId="0EF95C4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0B54A7E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6641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1F8D120B">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39ECE5BF">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75AA059A">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726D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1F97EFE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60292395">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6FB72EA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4A6CA39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153AAE36">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16845B6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536718E3">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537EBF2B">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2F13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5" w:hRule="atLeast"/>
        </w:trPr>
        <w:tc>
          <w:tcPr>
            <w:tcW w:w="735" w:type="dxa"/>
            <w:gridSpan w:val="2"/>
            <w:vAlign w:val="center"/>
          </w:tcPr>
          <w:p w14:paraId="16DFFC9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1591" w:type="dxa"/>
            <w:gridSpan w:val="2"/>
            <w:vAlign w:val="center"/>
          </w:tcPr>
          <w:p w14:paraId="3105267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开展安全责任大落实活动，切实强化安全责任落实攻坚战</w:t>
            </w:r>
          </w:p>
        </w:tc>
        <w:tc>
          <w:tcPr>
            <w:tcW w:w="1485" w:type="dxa"/>
            <w:gridSpan w:val="2"/>
            <w:vAlign w:val="center"/>
          </w:tcPr>
          <w:p w14:paraId="2BD421E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坚决砸实企业主体责任</w:t>
            </w:r>
          </w:p>
        </w:tc>
        <w:tc>
          <w:tcPr>
            <w:tcW w:w="5024" w:type="dxa"/>
            <w:vAlign w:val="center"/>
          </w:tcPr>
          <w:p w14:paraId="1B38E2E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一是强化主要负责人第一责任，全面落实</w:t>
            </w:r>
            <w:r>
              <w:rPr>
                <w:rFonts w:hint="eastAsia" w:ascii="仿宋_GB2312" w:hAnsi="仿宋_GB2312" w:eastAsia="仿宋_GB2312" w:cs="仿宋_GB2312"/>
                <w:color w:val="auto"/>
                <w:sz w:val="24"/>
                <w:szCs w:val="24"/>
                <w:vertAlign w:val="baseline"/>
                <w:lang w:val="en-US" w:eastAsia="zh-CN"/>
              </w:rPr>
              <w:t>《中华人民共和国安全生产法》</w:t>
            </w:r>
            <w:r>
              <w:rPr>
                <w:rFonts w:hint="default" w:ascii="仿宋_GB2312" w:hAnsi="仿宋_GB2312" w:eastAsia="仿宋_GB2312" w:cs="仿宋_GB2312"/>
                <w:color w:val="auto"/>
                <w:sz w:val="24"/>
                <w:szCs w:val="24"/>
                <w:vertAlign w:val="baseline"/>
                <w:lang w:val="en-US" w:eastAsia="zh-CN"/>
              </w:rPr>
              <w:t>七项职责以及安全生产责任制规定、主要负责人承诺制内容，开展自查检视，及时查漏补缺，检视整改情况报主管部门备案。二是突出管理团队安全责任落实，组织制定并督促落实企业各负责人安全生产职责清单和本次专项行动工作清单，对查出的风险隐患，要建立健全整改台账，重大事故隐患由主要负责人领衔整治，并报告属地监管部门纳入跟踪督办；建立健全风险分级管控和隐患排查治理双重预防机制，全面开展安全风险辨识、评估，严格落实分级分类管控措施，绘制风险“四色图”，实施清单管理和风险告知。三是健全完善并公示全员安全生产责任制，将全员安全生产责任制教育培训工作纳入年度培训计划，加强全员安全生产责任制落实情况考核管理。四是强化安全生产投入保障，将安全生产费用计入生产成本，由生产经营单位自提自用、专户核算。</w:t>
            </w:r>
          </w:p>
        </w:tc>
        <w:tc>
          <w:tcPr>
            <w:tcW w:w="1410" w:type="dxa"/>
            <w:gridSpan w:val="2"/>
            <w:vAlign w:val="center"/>
          </w:tcPr>
          <w:p w14:paraId="4AB470F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w:t>
            </w:r>
          </w:p>
        </w:tc>
        <w:tc>
          <w:tcPr>
            <w:tcW w:w="1305" w:type="dxa"/>
            <w:gridSpan w:val="2"/>
            <w:vAlign w:val="center"/>
          </w:tcPr>
          <w:p w14:paraId="7D5F314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7BDE3688">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4949754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704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12C08FCB">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5751F783">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5524F558">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落实清单</w:t>
            </w:r>
          </w:p>
        </w:tc>
      </w:tr>
      <w:tr w14:paraId="673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02BB779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15DBE63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507E9DF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6ABC2FB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1C8D8F2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157E720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77975AF8">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225231A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是否完成</w:t>
            </w:r>
          </w:p>
        </w:tc>
      </w:tr>
      <w:tr w14:paraId="4E5B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031E7B4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1591" w:type="dxa"/>
            <w:gridSpan w:val="2"/>
            <w:vMerge w:val="restart"/>
            <w:vAlign w:val="center"/>
          </w:tcPr>
          <w:p w14:paraId="2722E28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开展安全责任大落实活动，切实强化安全责任落实攻坚战</w:t>
            </w:r>
          </w:p>
        </w:tc>
        <w:tc>
          <w:tcPr>
            <w:tcW w:w="1485" w:type="dxa"/>
            <w:gridSpan w:val="2"/>
            <w:vAlign w:val="center"/>
          </w:tcPr>
          <w:p w14:paraId="15B96D62">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强化督查检查</w:t>
            </w:r>
          </w:p>
        </w:tc>
        <w:tc>
          <w:tcPr>
            <w:tcW w:w="5024" w:type="dxa"/>
            <w:vAlign w:val="center"/>
          </w:tcPr>
          <w:p w14:paraId="41E8D02A">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各分局、各相关科室单位要采取“四不两直”、明查暗访等方式，常态化进行包联检查、综合督导，对不放心企业和列入重点监管的企业实施精准检查，主要负责人带队督导检查每月不少于1次。</w:t>
            </w:r>
          </w:p>
        </w:tc>
        <w:tc>
          <w:tcPr>
            <w:tcW w:w="1410" w:type="dxa"/>
            <w:gridSpan w:val="2"/>
            <w:vAlign w:val="center"/>
          </w:tcPr>
          <w:p w14:paraId="35123A4D">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各分局、各相关科室</w:t>
            </w:r>
          </w:p>
        </w:tc>
        <w:tc>
          <w:tcPr>
            <w:tcW w:w="1305" w:type="dxa"/>
            <w:gridSpan w:val="2"/>
            <w:vAlign w:val="center"/>
          </w:tcPr>
          <w:p w14:paraId="18F32F1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60797CD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4A86A77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23EF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4FEB361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1591" w:type="dxa"/>
            <w:gridSpan w:val="2"/>
            <w:vMerge w:val="continue"/>
            <w:vAlign w:val="center"/>
          </w:tcPr>
          <w:p w14:paraId="3B1C014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276A558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定期分析研判</w:t>
            </w:r>
          </w:p>
        </w:tc>
        <w:tc>
          <w:tcPr>
            <w:tcW w:w="5024" w:type="dxa"/>
            <w:vAlign w:val="center"/>
          </w:tcPr>
          <w:p w14:paraId="4566273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单位主要负责人每月至少听取1次工作进展情况汇报，研究解决1项工作推进中遇到的重大问题。</w:t>
            </w:r>
          </w:p>
        </w:tc>
        <w:tc>
          <w:tcPr>
            <w:tcW w:w="1410" w:type="dxa"/>
            <w:gridSpan w:val="2"/>
            <w:vAlign w:val="center"/>
          </w:tcPr>
          <w:p w14:paraId="012CF38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各分局、各相关科室</w:t>
            </w:r>
          </w:p>
        </w:tc>
        <w:tc>
          <w:tcPr>
            <w:tcW w:w="1305" w:type="dxa"/>
            <w:gridSpan w:val="2"/>
            <w:vAlign w:val="center"/>
          </w:tcPr>
          <w:p w14:paraId="5571E0D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3875DF8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395147C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38E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3E691A2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1591" w:type="dxa"/>
            <w:gridSpan w:val="2"/>
            <w:vMerge w:val="restart"/>
            <w:vAlign w:val="center"/>
          </w:tcPr>
          <w:p w14:paraId="73FFB3C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开展安全隐患大排查活动，持续深化风险隐患“清零”攻坚战</w:t>
            </w:r>
          </w:p>
        </w:tc>
        <w:tc>
          <w:tcPr>
            <w:tcW w:w="1485" w:type="dxa"/>
            <w:gridSpan w:val="2"/>
            <w:vAlign w:val="center"/>
          </w:tcPr>
          <w:p w14:paraId="4B5711FF">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切实加大重大事故隐患排查治理力度</w:t>
            </w:r>
          </w:p>
        </w:tc>
        <w:tc>
          <w:tcPr>
            <w:tcW w:w="5024" w:type="dxa"/>
            <w:vAlign w:val="center"/>
          </w:tcPr>
          <w:p w14:paraId="62C4D39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按照《全市重大事故隐患专项排查整治2023行动实施方案》要求，持续深入开展重大事故隐患专项排查整治，进一步查细查实重大事故隐患，跟踪整治到位；特别是要对</w:t>
            </w:r>
            <w:r>
              <w:rPr>
                <w:rFonts w:hint="eastAsia" w:ascii="仿宋_GB2312" w:hAnsi="仿宋_GB2312" w:eastAsia="仿宋_GB2312" w:cs="仿宋_GB2312"/>
                <w:color w:val="auto"/>
                <w:sz w:val="24"/>
                <w:szCs w:val="24"/>
                <w:vertAlign w:val="baseline"/>
                <w:lang w:val="en-US" w:eastAsia="zh-CN"/>
              </w:rPr>
              <w:t>照《企业突发环境事件隐患排查和治理工作指南（试行）》中</w:t>
            </w:r>
            <w:r>
              <w:rPr>
                <w:rFonts w:hint="default" w:ascii="仿宋_GB2312" w:hAnsi="仿宋_GB2312" w:eastAsia="仿宋_GB2312" w:cs="仿宋_GB2312"/>
                <w:color w:val="auto"/>
                <w:sz w:val="24"/>
                <w:szCs w:val="24"/>
                <w:vertAlign w:val="baseline"/>
                <w:lang w:val="en-US" w:eastAsia="zh-CN"/>
              </w:rPr>
              <w:t>重大隐患判定标准进行再梳理，举一反三，查漏补缺，抓紧完善提升。</w:t>
            </w:r>
          </w:p>
        </w:tc>
        <w:tc>
          <w:tcPr>
            <w:tcW w:w="1410" w:type="dxa"/>
            <w:gridSpan w:val="2"/>
            <w:vAlign w:val="center"/>
          </w:tcPr>
          <w:p w14:paraId="2E6FDA6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各分局、各相关科室</w:t>
            </w:r>
          </w:p>
        </w:tc>
        <w:tc>
          <w:tcPr>
            <w:tcW w:w="1305" w:type="dxa"/>
            <w:gridSpan w:val="2"/>
            <w:vAlign w:val="center"/>
          </w:tcPr>
          <w:p w14:paraId="089A4548">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533F036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73FA012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0056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0889987A">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1591" w:type="dxa"/>
            <w:gridSpan w:val="2"/>
            <w:vMerge w:val="continue"/>
            <w:vAlign w:val="center"/>
          </w:tcPr>
          <w:p w14:paraId="6238687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4C86440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大力整治火灾防控薄弱环节</w:t>
            </w:r>
          </w:p>
        </w:tc>
        <w:tc>
          <w:tcPr>
            <w:tcW w:w="5024" w:type="dxa"/>
            <w:vAlign w:val="center"/>
          </w:tcPr>
          <w:p w14:paraId="21EC0E0C">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排查整治电气线路老化、违规使用大功率取暖设备、电路过载、消防设施短缺损坏、封闭安全出口等可能造成火灾事故的风险隐患；排查整治未按规定设置专用气瓶间，在用气瓶和备用气瓶未分开放置，未规范安装、使用可燃气体报警装置及燃气紧急切断阀，问题瓶、问题阀等可能导致燃气泄漏燃爆的风险隐患。</w:t>
            </w:r>
          </w:p>
        </w:tc>
        <w:tc>
          <w:tcPr>
            <w:tcW w:w="1410" w:type="dxa"/>
            <w:gridSpan w:val="2"/>
            <w:vAlign w:val="center"/>
          </w:tcPr>
          <w:p w14:paraId="65A03E65">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各分局、办公室</w:t>
            </w:r>
          </w:p>
        </w:tc>
        <w:tc>
          <w:tcPr>
            <w:tcW w:w="1305" w:type="dxa"/>
            <w:gridSpan w:val="2"/>
            <w:vAlign w:val="center"/>
          </w:tcPr>
          <w:p w14:paraId="15BB7F5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48E5E83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1951809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5B1B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35" w:type="dxa"/>
            <w:gridSpan w:val="7"/>
            <w:vAlign w:val="center"/>
          </w:tcPr>
          <w:p w14:paraId="645540EB">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7B0DDD9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286F9CAE">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6215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gridSpan w:val="2"/>
            <w:vAlign w:val="center"/>
          </w:tcPr>
          <w:p w14:paraId="2C382A75">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656B534E">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0CA8F8B7">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44490658">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7F5BBE1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12B2EFB4">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5BFD2D5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3579FC2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3578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735" w:type="dxa"/>
            <w:gridSpan w:val="2"/>
            <w:vAlign w:val="center"/>
          </w:tcPr>
          <w:p w14:paraId="5412D5E7">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c>
          <w:tcPr>
            <w:tcW w:w="1591" w:type="dxa"/>
            <w:gridSpan w:val="2"/>
            <w:vMerge w:val="restart"/>
            <w:vAlign w:val="center"/>
          </w:tcPr>
          <w:p w14:paraId="7A9C664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开展安全隐患大排查活动，持续深化风险隐患“清零”攻坚战</w:t>
            </w:r>
          </w:p>
        </w:tc>
        <w:tc>
          <w:tcPr>
            <w:tcW w:w="1485" w:type="dxa"/>
            <w:gridSpan w:val="2"/>
            <w:vAlign w:val="center"/>
          </w:tcPr>
          <w:p w14:paraId="66F72E5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推进化工园区整治提升</w:t>
            </w:r>
          </w:p>
        </w:tc>
        <w:tc>
          <w:tcPr>
            <w:tcW w:w="5024" w:type="dxa"/>
            <w:vAlign w:val="center"/>
          </w:tcPr>
          <w:p w14:paraId="308D1F5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强化园区管理部门环境监管责任，全面检查园区雨污管网、污水处理厂等基础设施，以及应急池、应急闸坝等环境应急设施的建设、运行情况，园区内企业、污水处理厂入河排污口的设置、排放情况。同时，要组织打好园区污染风险阻击战，通过技术、工程和管理措施建设完备的企业级、园区级和流域级环境污染事件多级防控体系，稳步推进省级化工园区“一园一策一图”示范试点工作。对照</w:t>
            </w:r>
            <w:r>
              <w:rPr>
                <w:rFonts w:hint="default" w:ascii="仿宋_GB2312" w:hAnsi="仿宋_GB2312" w:eastAsia="仿宋_GB2312" w:cs="仿宋_GB2312"/>
                <w:color w:val="auto"/>
                <w:sz w:val="24"/>
                <w:szCs w:val="24"/>
                <w:vertAlign w:val="baseline"/>
                <w:lang w:val="en-US" w:eastAsia="zh-CN"/>
              </w:rPr>
              <w:t>《山西省化工园区认定管理办法（试行）》对照专家反馈问题，落实整改，持续提升。</w:t>
            </w:r>
          </w:p>
        </w:tc>
        <w:tc>
          <w:tcPr>
            <w:tcW w:w="1410" w:type="dxa"/>
            <w:gridSpan w:val="2"/>
            <w:vAlign w:val="center"/>
          </w:tcPr>
          <w:p w14:paraId="40B04FF9">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各分局、环评科、水科、应急科</w:t>
            </w:r>
          </w:p>
        </w:tc>
        <w:tc>
          <w:tcPr>
            <w:tcW w:w="1305" w:type="dxa"/>
            <w:gridSpan w:val="2"/>
            <w:vAlign w:val="center"/>
          </w:tcPr>
          <w:p w14:paraId="4A9619E1">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4687A379">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363B296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3C93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74D13095">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w:t>
            </w:r>
          </w:p>
        </w:tc>
        <w:tc>
          <w:tcPr>
            <w:tcW w:w="1591" w:type="dxa"/>
            <w:gridSpan w:val="2"/>
            <w:vMerge w:val="continue"/>
            <w:vAlign w:val="center"/>
          </w:tcPr>
          <w:p w14:paraId="638204F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614BFE6E">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开展本年度重大事故隐患整改落实情况“回头看”</w:t>
            </w:r>
            <w:r>
              <w:rPr>
                <w:rFonts w:hint="eastAsia" w:ascii="仿宋_GB2312" w:hAnsi="仿宋_GB2312" w:eastAsia="仿宋_GB2312" w:cs="仿宋_GB2312"/>
                <w:color w:val="auto"/>
                <w:sz w:val="24"/>
                <w:szCs w:val="24"/>
                <w:vertAlign w:val="baseline"/>
                <w:lang w:val="en-US" w:eastAsia="zh-CN"/>
              </w:rPr>
              <w:t>，落实“双报告”“双挂牌”</w:t>
            </w:r>
          </w:p>
        </w:tc>
        <w:tc>
          <w:tcPr>
            <w:tcW w:w="5024" w:type="dxa"/>
            <w:vAlign w:val="center"/>
          </w:tcPr>
          <w:p w14:paraId="26BFE000">
            <w:pPr>
              <w:keepNext w:val="0"/>
              <w:keepLines w:val="0"/>
              <w:widowControl/>
              <w:suppressLineNumbers w:val="0"/>
              <w:jc w:val="left"/>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要全面梳理今年以来各类督查检查排查出的问题隐患，对已整改的重大隐患和突出风险要逐个开展核查，确保真改实改，不留死角，坚决防止“死灰复燃”；对未整改到位的要摸清底数，登记造册，分门别类进行整理归纳，建立台账，定人员、定责任、定措施、定限期，分级分批挂牌督办，确保所有隐患年内全部限期整改到位；要督促企业对重大隐患实行监管部门和集团公司负责人“双挂牌”，排查整改情况向监管部门和企业职代会进行“双报告”。</w:t>
            </w:r>
          </w:p>
        </w:tc>
        <w:tc>
          <w:tcPr>
            <w:tcW w:w="1410" w:type="dxa"/>
            <w:gridSpan w:val="2"/>
            <w:vAlign w:val="center"/>
          </w:tcPr>
          <w:p w14:paraId="71579F0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各分局、应急科、局相关科室</w:t>
            </w:r>
          </w:p>
        </w:tc>
        <w:tc>
          <w:tcPr>
            <w:tcW w:w="1305" w:type="dxa"/>
            <w:gridSpan w:val="2"/>
            <w:vAlign w:val="center"/>
          </w:tcPr>
          <w:p w14:paraId="0E93BFE4">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12月底</w:t>
            </w:r>
          </w:p>
        </w:tc>
        <w:tc>
          <w:tcPr>
            <w:tcW w:w="1950" w:type="dxa"/>
            <w:gridSpan w:val="2"/>
            <w:vAlign w:val="center"/>
          </w:tcPr>
          <w:p w14:paraId="15C2CA6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33F168E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4FC0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031A5E4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4961A407">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0C29E12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落实清单</w:t>
            </w:r>
          </w:p>
        </w:tc>
      </w:tr>
      <w:tr w14:paraId="46DB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30BB673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5FD8FBE8">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60C3A6A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5742AFC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75183B7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33C0707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34E1772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7DDBA57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是否完成</w:t>
            </w:r>
          </w:p>
        </w:tc>
      </w:tr>
      <w:tr w14:paraId="4D73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35" w:type="dxa"/>
            <w:gridSpan w:val="2"/>
            <w:vAlign w:val="center"/>
          </w:tcPr>
          <w:p w14:paraId="7F6185A0">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24</w:t>
            </w:r>
          </w:p>
        </w:tc>
        <w:tc>
          <w:tcPr>
            <w:tcW w:w="1591" w:type="dxa"/>
            <w:gridSpan w:val="2"/>
            <w:vAlign w:val="center"/>
          </w:tcPr>
          <w:p w14:paraId="0BEA8DB4">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开展安全隐患大排查活动，持续深化风险隐患“清零”攻坚战</w:t>
            </w:r>
          </w:p>
        </w:tc>
        <w:tc>
          <w:tcPr>
            <w:tcW w:w="1485" w:type="dxa"/>
            <w:gridSpan w:val="2"/>
            <w:vAlign w:val="center"/>
          </w:tcPr>
          <w:p w14:paraId="3DEF127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严格管控特殊作业风险</w:t>
            </w:r>
          </w:p>
        </w:tc>
        <w:tc>
          <w:tcPr>
            <w:tcW w:w="5024" w:type="dxa"/>
            <w:vAlign w:val="center"/>
          </w:tcPr>
          <w:p w14:paraId="34897380">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聚焦动火、有限空间、高处作业等危险作业环节，排查整治安全风险未辨识、危险作业不审批、管控措施不落实、防护用品不配备、人员培训不到位等可能引发火灾、燃烧爆炸、中毒窒息、高处坠落等事故的风险隐患。</w:t>
            </w:r>
          </w:p>
        </w:tc>
        <w:tc>
          <w:tcPr>
            <w:tcW w:w="1410" w:type="dxa"/>
            <w:gridSpan w:val="2"/>
            <w:vAlign w:val="center"/>
          </w:tcPr>
          <w:p w14:paraId="082EEC13">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各分局、应急科、局办公室、监测事务中心</w:t>
            </w:r>
          </w:p>
        </w:tc>
        <w:tc>
          <w:tcPr>
            <w:tcW w:w="1305" w:type="dxa"/>
            <w:gridSpan w:val="2"/>
            <w:vAlign w:val="center"/>
          </w:tcPr>
          <w:p w14:paraId="0D089B44">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779069D9">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p>
        </w:tc>
        <w:tc>
          <w:tcPr>
            <w:tcW w:w="900" w:type="dxa"/>
            <w:vAlign w:val="center"/>
          </w:tcPr>
          <w:p w14:paraId="76444B76">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p>
        </w:tc>
      </w:tr>
      <w:tr w14:paraId="3D55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gridSpan w:val="2"/>
            <w:vAlign w:val="center"/>
          </w:tcPr>
          <w:p w14:paraId="2C465F9C">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1591" w:type="dxa"/>
            <w:gridSpan w:val="2"/>
            <w:vMerge w:val="restart"/>
            <w:vAlign w:val="center"/>
          </w:tcPr>
          <w:p w14:paraId="3B20860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开展安全问题大整治活动，持续巩固“打非治违”攻坚战</w:t>
            </w:r>
          </w:p>
        </w:tc>
        <w:tc>
          <w:tcPr>
            <w:tcW w:w="1485" w:type="dxa"/>
            <w:gridSpan w:val="2"/>
            <w:vAlign w:val="center"/>
          </w:tcPr>
          <w:p w14:paraId="7A7593D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整治工作作风不扎实问题</w:t>
            </w:r>
          </w:p>
        </w:tc>
        <w:tc>
          <w:tcPr>
            <w:tcW w:w="5024" w:type="dxa"/>
            <w:vAlign w:val="center"/>
          </w:tcPr>
          <w:p w14:paraId="38EB809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重点整治</w:t>
            </w:r>
            <w:r>
              <w:rPr>
                <w:rFonts w:hint="eastAsia" w:ascii="仿宋_GB2312" w:hAnsi="仿宋_GB2312" w:eastAsia="仿宋_GB2312" w:cs="仿宋_GB2312"/>
                <w:color w:val="auto"/>
                <w:sz w:val="24"/>
                <w:szCs w:val="24"/>
                <w:vertAlign w:val="baseline"/>
                <w:lang w:val="en-US" w:eastAsia="zh-CN"/>
              </w:rPr>
              <w:t>危险废物</w:t>
            </w:r>
            <w:r>
              <w:rPr>
                <w:rFonts w:hint="default" w:ascii="仿宋_GB2312" w:hAnsi="仿宋_GB2312" w:eastAsia="仿宋_GB2312" w:cs="仿宋_GB2312"/>
                <w:color w:val="auto"/>
                <w:sz w:val="24"/>
                <w:szCs w:val="24"/>
                <w:vertAlign w:val="baseline"/>
                <w:lang w:val="en-US" w:eastAsia="zh-CN"/>
              </w:rPr>
              <w:t>领域监管职责不清、存在盲区漏洞，失管失察的问题；没有把身边的事故作为警示，对苗头性的风险隐患没有引起足够重视，更没有对照检查整改，导致发生同类事故的问题；一些部门和企业作风漂浮，工作不认真不扎实，重大事故隐患排查整治质量不高，异化为一个动作、一种形式的问题。</w:t>
            </w:r>
          </w:p>
        </w:tc>
        <w:tc>
          <w:tcPr>
            <w:tcW w:w="1410" w:type="dxa"/>
            <w:gridSpan w:val="2"/>
            <w:vAlign w:val="center"/>
          </w:tcPr>
          <w:p w14:paraId="17AC16EA">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机关纪委</w:t>
            </w:r>
          </w:p>
        </w:tc>
        <w:tc>
          <w:tcPr>
            <w:tcW w:w="1305" w:type="dxa"/>
            <w:gridSpan w:val="2"/>
            <w:vAlign w:val="center"/>
          </w:tcPr>
          <w:p w14:paraId="478A2F49">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53EFE1BC">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757129C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054A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35" w:type="dxa"/>
            <w:gridSpan w:val="2"/>
            <w:vAlign w:val="center"/>
          </w:tcPr>
          <w:p w14:paraId="6E3B2378">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1591" w:type="dxa"/>
            <w:gridSpan w:val="2"/>
            <w:vMerge w:val="continue"/>
            <w:vAlign w:val="center"/>
          </w:tcPr>
          <w:p w14:paraId="2C6270B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6E3CEC6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违法违规生产经营建设问题</w:t>
            </w:r>
          </w:p>
        </w:tc>
        <w:tc>
          <w:tcPr>
            <w:tcW w:w="5024" w:type="dxa"/>
            <w:vAlign w:val="center"/>
          </w:tcPr>
          <w:p w14:paraId="7273D33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点整治证照手续不齐、人员资质不符；关闭、破坏直接关系生产安全的设备设施，或篡改、隐瞒、销毁其相关数据信息；重大事故隐患不及时向监管部门报告、不及时采取有效措施仍冒险组织生产；拒不执行整改指令，违法组织生产、建设等问题。</w:t>
            </w:r>
          </w:p>
        </w:tc>
        <w:tc>
          <w:tcPr>
            <w:tcW w:w="1410" w:type="dxa"/>
            <w:gridSpan w:val="2"/>
            <w:vAlign w:val="center"/>
          </w:tcPr>
          <w:p w14:paraId="0CC83912">
            <w:pPr>
              <w:keepNext w:val="0"/>
              <w:keepLines w:val="0"/>
              <w:widowControl/>
              <w:suppressLineNumbers w:val="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各分局、应急科、局相关科室</w:t>
            </w:r>
          </w:p>
        </w:tc>
        <w:tc>
          <w:tcPr>
            <w:tcW w:w="1305" w:type="dxa"/>
            <w:gridSpan w:val="2"/>
            <w:vAlign w:val="center"/>
          </w:tcPr>
          <w:p w14:paraId="38D1148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4CE9118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12A6A35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46AE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676" w:type="dxa"/>
            <w:gridSpan w:val="8"/>
            <w:vAlign w:val="center"/>
          </w:tcPr>
          <w:p w14:paraId="17CD08BC">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任务清单</w:t>
            </w:r>
          </w:p>
        </w:tc>
        <w:tc>
          <w:tcPr>
            <w:tcW w:w="2625" w:type="dxa"/>
            <w:gridSpan w:val="4"/>
            <w:vAlign w:val="center"/>
          </w:tcPr>
          <w:p w14:paraId="627001E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责任清单</w:t>
            </w:r>
          </w:p>
        </w:tc>
        <w:tc>
          <w:tcPr>
            <w:tcW w:w="2099" w:type="dxa"/>
            <w:gridSpan w:val="2"/>
            <w:vAlign w:val="center"/>
          </w:tcPr>
          <w:p w14:paraId="464EFFF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落实清单</w:t>
            </w:r>
          </w:p>
        </w:tc>
      </w:tr>
      <w:tr w14:paraId="0CE1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6" w:type="dxa"/>
            <w:vAlign w:val="center"/>
          </w:tcPr>
          <w:p w14:paraId="4971045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1440" w:type="dxa"/>
            <w:gridSpan w:val="2"/>
            <w:vAlign w:val="center"/>
          </w:tcPr>
          <w:p w14:paraId="3DC3AF3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项目</w:t>
            </w:r>
          </w:p>
        </w:tc>
        <w:tc>
          <w:tcPr>
            <w:tcW w:w="1335" w:type="dxa"/>
            <w:gridSpan w:val="2"/>
            <w:vAlign w:val="center"/>
          </w:tcPr>
          <w:p w14:paraId="022CEC33">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重点工作</w:t>
            </w:r>
          </w:p>
        </w:tc>
        <w:tc>
          <w:tcPr>
            <w:tcW w:w="6195" w:type="dxa"/>
            <w:gridSpan w:val="3"/>
            <w:vAlign w:val="center"/>
          </w:tcPr>
          <w:p w14:paraId="6E90975F">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主要任务</w:t>
            </w:r>
          </w:p>
        </w:tc>
        <w:tc>
          <w:tcPr>
            <w:tcW w:w="1335" w:type="dxa"/>
            <w:gridSpan w:val="2"/>
            <w:vAlign w:val="center"/>
          </w:tcPr>
          <w:p w14:paraId="3A41BB5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责任单位（科室）</w:t>
            </w:r>
          </w:p>
        </w:tc>
        <w:tc>
          <w:tcPr>
            <w:tcW w:w="1290" w:type="dxa"/>
            <w:gridSpan w:val="2"/>
            <w:vAlign w:val="center"/>
          </w:tcPr>
          <w:p w14:paraId="679DC14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完成时限</w:t>
            </w:r>
          </w:p>
        </w:tc>
        <w:tc>
          <w:tcPr>
            <w:tcW w:w="1199" w:type="dxa"/>
            <w:vAlign w:val="center"/>
          </w:tcPr>
          <w:p w14:paraId="6808B02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78152BA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是否完成</w:t>
            </w:r>
          </w:p>
        </w:tc>
      </w:tr>
      <w:tr w14:paraId="1333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6" w:type="dxa"/>
            <w:vAlign w:val="center"/>
          </w:tcPr>
          <w:p w14:paraId="0E67C244">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27</w:t>
            </w:r>
          </w:p>
        </w:tc>
        <w:tc>
          <w:tcPr>
            <w:tcW w:w="1440" w:type="dxa"/>
            <w:gridSpan w:val="2"/>
            <w:vMerge w:val="restart"/>
            <w:vAlign w:val="center"/>
          </w:tcPr>
          <w:p w14:paraId="18BF5F6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开展安全问题大整治活动，持续巩固“打非治违”攻坚战</w:t>
            </w:r>
          </w:p>
        </w:tc>
        <w:tc>
          <w:tcPr>
            <w:tcW w:w="1335" w:type="dxa"/>
            <w:gridSpan w:val="2"/>
            <w:vAlign w:val="center"/>
          </w:tcPr>
          <w:p w14:paraId="5AC9F130">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整治管理混乱、“三违”行为多发问题开展整治</w:t>
            </w:r>
          </w:p>
        </w:tc>
        <w:tc>
          <w:tcPr>
            <w:tcW w:w="6195" w:type="dxa"/>
            <w:gridSpan w:val="3"/>
            <w:vAlign w:val="center"/>
          </w:tcPr>
          <w:p w14:paraId="1B2B5E6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重点整治未落实集团公司季查、主要负责人月查、分管负责人旬查、安全管理机构和车间周查、班组日查机制，现场安全管理混乱等问题；未制定各岗位的操作规程，员工操作规程不落实，未开展“反三违”专项行动、对“三违”人员进行处罚等问题。</w:t>
            </w:r>
          </w:p>
        </w:tc>
        <w:tc>
          <w:tcPr>
            <w:tcW w:w="1335" w:type="dxa"/>
            <w:gridSpan w:val="2"/>
            <w:vAlign w:val="center"/>
          </w:tcPr>
          <w:p w14:paraId="7E38B185">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各分局、应急科、局相关科室</w:t>
            </w:r>
          </w:p>
        </w:tc>
        <w:tc>
          <w:tcPr>
            <w:tcW w:w="1290" w:type="dxa"/>
            <w:gridSpan w:val="2"/>
            <w:vAlign w:val="center"/>
          </w:tcPr>
          <w:p w14:paraId="17A980B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2024年2月底</w:t>
            </w:r>
          </w:p>
        </w:tc>
        <w:tc>
          <w:tcPr>
            <w:tcW w:w="1199" w:type="dxa"/>
            <w:vAlign w:val="center"/>
          </w:tcPr>
          <w:p w14:paraId="67B2A4FB">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p>
        </w:tc>
        <w:tc>
          <w:tcPr>
            <w:tcW w:w="900" w:type="dxa"/>
            <w:vAlign w:val="center"/>
          </w:tcPr>
          <w:p w14:paraId="2124AFBD">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p>
        </w:tc>
      </w:tr>
      <w:tr w14:paraId="7A3D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6" w:type="dxa"/>
            <w:vAlign w:val="center"/>
          </w:tcPr>
          <w:p w14:paraId="687F5B9A">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w:t>
            </w:r>
          </w:p>
        </w:tc>
        <w:tc>
          <w:tcPr>
            <w:tcW w:w="1440" w:type="dxa"/>
            <w:gridSpan w:val="2"/>
            <w:vMerge w:val="continue"/>
            <w:vAlign w:val="center"/>
          </w:tcPr>
          <w:p w14:paraId="008E15B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335" w:type="dxa"/>
            <w:gridSpan w:val="2"/>
            <w:vAlign w:val="center"/>
          </w:tcPr>
          <w:p w14:paraId="55705DA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自救互救能力不强、应急处置不力问题</w:t>
            </w:r>
          </w:p>
        </w:tc>
        <w:tc>
          <w:tcPr>
            <w:tcW w:w="6195" w:type="dxa"/>
            <w:gridSpan w:val="3"/>
            <w:vAlign w:val="center"/>
          </w:tcPr>
          <w:p w14:paraId="73892912">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重点整治应急救援机构不健全、运行不顺畅、履职不到位；</w:t>
            </w:r>
            <w:r>
              <w:rPr>
                <w:rFonts w:hint="eastAsia" w:ascii="仿宋_GB2312" w:hAnsi="仿宋_GB2312" w:eastAsia="仿宋_GB2312" w:cs="仿宋_GB2312"/>
                <w:color w:val="auto"/>
                <w:sz w:val="24"/>
                <w:szCs w:val="24"/>
                <w:vertAlign w:val="baseline"/>
                <w:lang w:val="en-US" w:eastAsia="zh-CN"/>
              </w:rPr>
              <w:t>环境</w:t>
            </w:r>
            <w:r>
              <w:rPr>
                <w:rFonts w:hint="default" w:ascii="仿宋_GB2312" w:hAnsi="仿宋_GB2312" w:eastAsia="仿宋_GB2312" w:cs="仿宋_GB2312"/>
                <w:color w:val="auto"/>
                <w:sz w:val="24"/>
                <w:szCs w:val="24"/>
                <w:vertAlign w:val="baseline"/>
                <w:lang w:val="en-US" w:eastAsia="zh-CN"/>
              </w:rPr>
              <w:t>应急</w:t>
            </w:r>
            <w:r>
              <w:rPr>
                <w:rFonts w:hint="eastAsia" w:ascii="仿宋_GB2312" w:hAnsi="仿宋_GB2312" w:eastAsia="仿宋_GB2312" w:cs="仿宋_GB2312"/>
                <w:color w:val="auto"/>
                <w:sz w:val="24"/>
                <w:szCs w:val="24"/>
                <w:vertAlign w:val="baseline"/>
                <w:lang w:val="en-US" w:eastAsia="zh-CN"/>
              </w:rPr>
              <w:t>物资、装备或设施不配备，维护、保养、管理不及时；突发环境事件应急预案未制定，未开展演练、评估和修订；应急预案培训不到位等问题。</w:t>
            </w:r>
          </w:p>
        </w:tc>
        <w:tc>
          <w:tcPr>
            <w:tcW w:w="1335" w:type="dxa"/>
            <w:gridSpan w:val="2"/>
            <w:vAlign w:val="center"/>
          </w:tcPr>
          <w:p w14:paraId="7738B0DF">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各分局、执法队、各相关科室</w:t>
            </w:r>
          </w:p>
        </w:tc>
        <w:tc>
          <w:tcPr>
            <w:tcW w:w="1290" w:type="dxa"/>
            <w:gridSpan w:val="2"/>
            <w:vAlign w:val="center"/>
          </w:tcPr>
          <w:p w14:paraId="5EB4786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199" w:type="dxa"/>
            <w:vAlign w:val="center"/>
          </w:tcPr>
          <w:p w14:paraId="57B2CC6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286329F4">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4525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15CECFE9">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w:t>
            </w:r>
          </w:p>
        </w:tc>
        <w:tc>
          <w:tcPr>
            <w:tcW w:w="1440" w:type="dxa"/>
            <w:gridSpan w:val="2"/>
            <w:vMerge w:val="continue"/>
            <w:vAlign w:val="center"/>
          </w:tcPr>
          <w:p w14:paraId="4A296F85">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335" w:type="dxa"/>
            <w:gridSpan w:val="2"/>
            <w:vAlign w:val="center"/>
          </w:tcPr>
          <w:p w14:paraId="0BF0984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生态环境领域重点突出问题隐患开展整治</w:t>
            </w:r>
          </w:p>
        </w:tc>
        <w:tc>
          <w:tcPr>
            <w:tcW w:w="6195" w:type="dxa"/>
            <w:gridSpan w:val="3"/>
            <w:vAlign w:val="center"/>
          </w:tcPr>
          <w:p w14:paraId="7549BCAB">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一是</w:t>
            </w:r>
            <w:r>
              <w:rPr>
                <w:rFonts w:hint="eastAsia" w:ascii="仿宋_GB2312" w:hAnsi="仿宋_GB2312" w:eastAsia="仿宋_GB2312" w:cs="仿宋_GB2312"/>
                <w:color w:val="auto"/>
                <w:sz w:val="24"/>
                <w:szCs w:val="24"/>
                <w:vertAlign w:val="baseline"/>
                <w:lang w:val="en-US" w:eastAsia="zh-CN"/>
              </w:rPr>
              <w:t>强化危险废物、尾矿库、重金属等重点领域环境隐患排查</w:t>
            </w:r>
            <w:r>
              <w:rPr>
                <w:rFonts w:hint="default" w:ascii="仿宋_GB2312" w:hAnsi="仿宋_GB2312" w:eastAsia="仿宋_GB2312" w:cs="仿宋_GB2312"/>
                <w:color w:val="auto"/>
                <w:sz w:val="24"/>
                <w:szCs w:val="24"/>
                <w:vertAlign w:val="baseline"/>
                <w:lang w:val="en-US" w:eastAsia="zh-CN"/>
              </w:rPr>
              <w:t>整治。各县（市、区）</w:t>
            </w:r>
            <w:r>
              <w:rPr>
                <w:rFonts w:hint="eastAsia" w:ascii="仿宋_GB2312" w:hAnsi="仿宋_GB2312" w:eastAsia="仿宋_GB2312" w:cs="仿宋_GB2312"/>
                <w:color w:val="auto"/>
                <w:sz w:val="24"/>
                <w:szCs w:val="24"/>
                <w:vertAlign w:val="baseline"/>
                <w:lang w:val="en-US" w:eastAsia="zh-CN"/>
              </w:rPr>
              <w:t>分局</w:t>
            </w:r>
            <w:r>
              <w:rPr>
                <w:rFonts w:hint="default" w:ascii="仿宋_GB2312" w:hAnsi="仿宋_GB2312" w:eastAsia="仿宋_GB2312" w:cs="仿宋_GB2312"/>
                <w:color w:val="auto"/>
                <w:sz w:val="24"/>
                <w:szCs w:val="24"/>
                <w:vertAlign w:val="baseline"/>
                <w:lang w:val="en-US" w:eastAsia="zh-CN"/>
              </w:rPr>
              <w:t>、相关</w:t>
            </w:r>
            <w:r>
              <w:rPr>
                <w:rFonts w:hint="eastAsia" w:ascii="仿宋_GB2312" w:hAnsi="仿宋_GB2312" w:eastAsia="仿宋_GB2312" w:cs="仿宋_GB2312"/>
                <w:color w:val="auto"/>
                <w:sz w:val="24"/>
                <w:szCs w:val="24"/>
                <w:vertAlign w:val="baseline"/>
                <w:lang w:val="en-US" w:eastAsia="zh-CN"/>
              </w:rPr>
              <w:t>科室</w:t>
            </w:r>
            <w:r>
              <w:rPr>
                <w:rFonts w:hint="default" w:ascii="仿宋_GB2312" w:hAnsi="仿宋_GB2312" w:eastAsia="仿宋_GB2312" w:cs="仿宋_GB2312"/>
                <w:color w:val="auto"/>
                <w:sz w:val="24"/>
                <w:szCs w:val="24"/>
                <w:vertAlign w:val="baseline"/>
                <w:lang w:val="en-US" w:eastAsia="zh-CN"/>
              </w:rPr>
              <w:t>要采取有效措施，</w:t>
            </w:r>
            <w:r>
              <w:rPr>
                <w:rFonts w:hint="eastAsia" w:ascii="仿宋_GB2312" w:hAnsi="仿宋_GB2312" w:eastAsia="仿宋_GB2312" w:cs="仿宋_GB2312"/>
                <w:color w:val="auto"/>
                <w:sz w:val="24"/>
                <w:szCs w:val="24"/>
                <w:vertAlign w:val="baseline"/>
                <w:lang w:val="en-US" w:eastAsia="zh-CN"/>
              </w:rPr>
              <w:t>严厉打击擅自倾倒、堆放危险废物行为。严厉打击未按照许可证规定从事危险废物收集、贮存、利用、处置的经营活动或无证经营行为</w:t>
            </w:r>
            <w:r>
              <w:rPr>
                <w:rFonts w:hint="default" w:ascii="仿宋_GB2312" w:hAnsi="仿宋_GB2312" w:eastAsia="仿宋_GB2312" w:cs="仿宋_GB2312"/>
                <w:color w:val="auto"/>
                <w:sz w:val="24"/>
                <w:szCs w:val="24"/>
                <w:vertAlign w:val="baseline"/>
                <w:lang w:val="en-US" w:eastAsia="zh-CN"/>
              </w:rPr>
              <w:t>。二是持续开展</w:t>
            </w:r>
            <w:r>
              <w:rPr>
                <w:rFonts w:hint="eastAsia" w:ascii="仿宋_GB2312" w:hAnsi="仿宋_GB2312" w:eastAsia="仿宋_GB2312" w:cs="仿宋_GB2312"/>
                <w:color w:val="auto"/>
                <w:sz w:val="24"/>
                <w:szCs w:val="24"/>
                <w:vertAlign w:val="baseline"/>
                <w:lang w:val="en-US" w:eastAsia="zh-CN"/>
              </w:rPr>
              <w:t>环保设施安全隐患排查与治理。</w:t>
            </w:r>
            <w:r>
              <w:rPr>
                <w:rFonts w:hint="default" w:ascii="仿宋_GB2312" w:hAnsi="仿宋_GB2312" w:eastAsia="仿宋_GB2312" w:cs="仿宋_GB2312"/>
                <w:color w:val="auto"/>
                <w:sz w:val="24"/>
                <w:szCs w:val="24"/>
                <w:vertAlign w:val="baseline"/>
                <w:lang w:val="en-US" w:eastAsia="zh-CN"/>
              </w:rPr>
              <w:t>认真执行《山西省生态环境厅关于协助相关行业企业监管部门做好环保设施安全监管工作的通知》（晋环发〔2022〕35号），积极协助相关行业企业监管部门做好环保设施安全监管工作</w:t>
            </w:r>
            <w:r>
              <w:rPr>
                <w:rFonts w:hint="eastAsia" w:ascii="仿宋_GB2312" w:hAnsi="仿宋_GB2312" w:eastAsia="仿宋_GB2312" w:cs="仿宋_GB2312"/>
                <w:color w:val="auto"/>
                <w:sz w:val="24"/>
                <w:szCs w:val="24"/>
                <w:vertAlign w:val="baseline"/>
                <w:lang w:val="en-US" w:eastAsia="zh-CN"/>
              </w:rPr>
              <w:t>，指导督促相关企业单位对环保设施和项目组织开展安全风险评估和隐患排查治理</w:t>
            </w:r>
            <w:r>
              <w:rPr>
                <w:rFonts w:hint="default"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三是强化环境污染第三方治理企业的安全监管，重点针对在线监控运维过程中产生的危险废物和小微企业收集试点企业的危险废物管理等三方治理企业进行排查整治。四是强化电动自行车全链条监管，重点针对电动自行车在拆解过程中的废旧铅蓄电池回收工作进行排查整治。五</w:t>
            </w:r>
            <w:r>
              <w:rPr>
                <w:rFonts w:hint="default" w:ascii="仿宋_GB2312" w:hAnsi="仿宋_GB2312" w:eastAsia="仿宋_GB2312" w:cs="仿宋_GB2312"/>
                <w:color w:val="auto"/>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加大社会监督和举报奖励工作力度，</w:t>
            </w:r>
            <w:r>
              <w:rPr>
                <w:rFonts w:hint="default" w:ascii="仿宋_GB2312" w:hAnsi="仿宋_GB2312" w:eastAsia="仿宋_GB2312" w:cs="仿宋_GB2312"/>
                <w:color w:val="auto"/>
                <w:sz w:val="24"/>
                <w:szCs w:val="24"/>
                <w:vertAlign w:val="baseline"/>
                <w:lang w:val="en-US" w:eastAsia="zh-CN"/>
              </w:rPr>
              <w:t>督促企业健全完善并落实安全生产“吹哨人”和举报奖励制度。</w:t>
            </w:r>
          </w:p>
        </w:tc>
        <w:tc>
          <w:tcPr>
            <w:tcW w:w="1335" w:type="dxa"/>
            <w:gridSpan w:val="2"/>
            <w:vAlign w:val="center"/>
          </w:tcPr>
          <w:p w14:paraId="683D5FF7">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各分局、执法队、环评科、大气科、水科、土科、固废科、应急科、监控科</w:t>
            </w:r>
          </w:p>
        </w:tc>
        <w:tc>
          <w:tcPr>
            <w:tcW w:w="1290" w:type="dxa"/>
            <w:gridSpan w:val="2"/>
            <w:vAlign w:val="center"/>
          </w:tcPr>
          <w:p w14:paraId="06BEECD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199" w:type="dxa"/>
            <w:vAlign w:val="center"/>
          </w:tcPr>
          <w:p w14:paraId="06D17FA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6D8BC97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1427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7"/>
            <w:vAlign w:val="center"/>
          </w:tcPr>
          <w:p w14:paraId="4D717764">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任务清单</w:t>
            </w:r>
          </w:p>
        </w:tc>
        <w:tc>
          <w:tcPr>
            <w:tcW w:w="2715" w:type="dxa"/>
            <w:gridSpan w:val="4"/>
            <w:vAlign w:val="center"/>
          </w:tcPr>
          <w:p w14:paraId="1DE1E823">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责任清单</w:t>
            </w:r>
          </w:p>
        </w:tc>
        <w:tc>
          <w:tcPr>
            <w:tcW w:w="2850" w:type="dxa"/>
            <w:gridSpan w:val="3"/>
            <w:vAlign w:val="center"/>
          </w:tcPr>
          <w:p w14:paraId="410DFEDE">
            <w:pPr>
              <w:keepNext w:val="0"/>
              <w:keepLines w:val="0"/>
              <w:widowControl/>
              <w:suppressLineNumbers w:val="0"/>
              <w:jc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sz w:val="28"/>
                <w:szCs w:val="28"/>
                <w:vertAlign w:val="baseline"/>
                <w:lang w:val="en-US" w:eastAsia="zh-CN"/>
              </w:rPr>
              <w:t>落实清单</w:t>
            </w:r>
          </w:p>
        </w:tc>
      </w:tr>
      <w:tr w14:paraId="2801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376F4195">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序号</w:t>
            </w:r>
          </w:p>
        </w:tc>
        <w:tc>
          <w:tcPr>
            <w:tcW w:w="1591" w:type="dxa"/>
            <w:gridSpan w:val="2"/>
            <w:vAlign w:val="center"/>
          </w:tcPr>
          <w:p w14:paraId="01AD6F37">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项目</w:t>
            </w:r>
          </w:p>
        </w:tc>
        <w:tc>
          <w:tcPr>
            <w:tcW w:w="1485" w:type="dxa"/>
            <w:gridSpan w:val="2"/>
            <w:vAlign w:val="center"/>
          </w:tcPr>
          <w:p w14:paraId="06EFAE4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重点工作</w:t>
            </w:r>
          </w:p>
        </w:tc>
        <w:tc>
          <w:tcPr>
            <w:tcW w:w="5024" w:type="dxa"/>
            <w:vAlign w:val="center"/>
          </w:tcPr>
          <w:p w14:paraId="38F62F5E">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主要任务</w:t>
            </w:r>
          </w:p>
        </w:tc>
        <w:tc>
          <w:tcPr>
            <w:tcW w:w="1410" w:type="dxa"/>
            <w:gridSpan w:val="2"/>
            <w:vAlign w:val="center"/>
          </w:tcPr>
          <w:p w14:paraId="2EDF4011">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责任单位（科室）</w:t>
            </w:r>
          </w:p>
        </w:tc>
        <w:tc>
          <w:tcPr>
            <w:tcW w:w="1305" w:type="dxa"/>
            <w:gridSpan w:val="2"/>
            <w:vAlign w:val="center"/>
          </w:tcPr>
          <w:p w14:paraId="0525F4C2">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完成时限</w:t>
            </w:r>
          </w:p>
        </w:tc>
        <w:tc>
          <w:tcPr>
            <w:tcW w:w="1950" w:type="dxa"/>
            <w:gridSpan w:val="2"/>
            <w:vAlign w:val="center"/>
          </w:tcPr>
          <w:p w14:paraId="06D0FF7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落实情况</w:t>
            </w:r>
          </w:p>
        </w:tc>
        <w:tc>
          <w:tcPr>
            <w:tcW w:w="900" w:type="dxa"/>
            <w:vAlign w:val="center"/>
          </w:tcPr>
          <w:p w14:paraId="5F46D7FF">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是否完成</w:t>
            </w:r>
          </w:p>
        </w:tc>
      </w:tr>
      <w:tr w14:paraId="6C99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4D123DC3">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1591" w:type="dxa"/>
            <w:gridSpan w:val="2"/>
            <w:vMerge w:val="restart"/>
            <w:vAlign w:val="center"/>
          </w:tcPr>
          <w:p w14:paraId="13BF0932">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开展重点时段大治理活动，坚决打赢冬季安全防范攻坚战</w:t>
            </w:r>
          </w:p>
        </w:tc>
        <w:tc>
          <w:tcPr>
            <w:tcW w:w="1485" w:type="dxa"/>
            <w:gridSpan w:val="2"/>
            <w:vAlign w:val="center"/>
          </w:tcPr>
          <w:p w14:paraId="0DA8BF3C">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加大高风险车辆和路段管控力度</w:t>
            </w:r>
          </w:p>
        </w:tc>
        <w:tc>
          <w:tcPr>
            <w:tcW w:w="5024" w:type="dxa"/>
            <w:vAlign w:val="center"/>
          </w:tcPr>
          <w:p w14:paraId="7B95197F">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要与交通、高速公路、交警等部门联动，针对冬季气温下降、路面结冰等交通运输风险隐患，聚焦跨界临河路段的危化品车辆运输，组织打好临河运输风险阻击战，通过实施限时、限速和提醒等措施，构建防撞、导流、收集和应急物资储备等工程设施，切实消除临河运输风险，遇极端恶劣天气，高风险路段要严格实施封闭管理，坚决杜绝发生重大水污染事件</w:t>
            </w:r>
          </w:p>
        </w:tc>
        <w:tc>
          <w:tcPr>
            <w:tcW w:w="1410" w:type="dxa"/>
            <w:gridSpan w:val="2"/>
            <w:vAlign w:val="center"/>
          </w:tcPr>
          <w:p w14:paraId="78ED90EA">
            <w:pPr>
              <w:keepNext w:val="0"/>
              <w:keepLines w:val="0"/>
              <w:widowControl/>
              <w:suppressLineNumbers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各分局、应急科、局相关科室</w:t>
            </w:r>
          </w:p>
        </w:tc>
        <w:tc>
          <w:tcPr>
            <w:tcW w:w="1305" w:type="dxa"/>
            <w:gridSpan w:val="2"/>
            <w:vAlign w:val="center"/>
          </w:tcPr>
          <w:p w14:paraId="068EB457">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508FECA0">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0052D9B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r w14:paraId="633A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gridSpan w:val="2"/>
            <w:vAlign w:val="center"/>
          </w:tcPr>
          <w:p w14:paraId="502534B6">
            <w:pPr>
              <w:keepNext w:val="0"/>
              <w:keepLines w:val="0"/>
              <w:widowControl/>
              <w:suppressLineNumbers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w:t>
            </w:r>
          </w:p>
        </w:tc>
        <w:tc>
          <w:tcPr>
            <w:tcW w:w="1591" w:type="dxa"/>
            <w:gridSpan w:val="2"/>
            <w:vMerge w:val="continue"/>
            <w:vAlign w:val="center"/>
          </w:tcPr>
          <w:p w14:paraId="2C5EBBD6">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1485" w:type="dxa"/>
            <w:gridSpan w:val="2"/>
            <w:vAlign w:val="center"/>
          </w:tcPr>
          <w:p w14:paraId="12A0EBCB">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做好应对突发环境事件的准备</w:t>
            </w:r>
          </w:p>
        </w:tc>
        <w:tc>
          <w:tcPr>
            <w:tcW w:w="5024" w:type="dxa"/>
            <w:vAlign w:val="center"/>
          </w:tcPr>
          <w:p w14:paraId="5BCB5AFD">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严格落实领导带班和专人值班制度，确保24小时信息渠道畅通。发生突发环境事件时，要落实信息报告制度，主要负责同志要第一时间带队赶赴现场，及时采取科学有效处置措施。涉及跨界流域上下游突发水污染事件的，主要负责同志要亲自通报事件信息，严格落实属地管理责任和联防联控要求，科学开展断源、截污、降污等措施，最大限度降低事件的环境影响，减少对人民群众生命财产的危害</w:t>
            </w:r>
          </w:p>
        </w:tc>
        <w:tc>
          <w:tcPr>
            <w:tcW w:w="1410" w:type="dxa"/>
            <w:gridSpan w:val="2"/>
            <w:vAlign w:val="center"/>
          </w:tcPr>
          <w:p w14:paraId="0205D87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各分局、应急科、局相关科室</w:t>
            </w:r>
          </w:p>
        </w:tc>
        <w:tc>
          <w:tcPr>
            <w:tcW w:w="1305" w:type="dxa"/>
            <w:gridSpan w:val="2"/>
            <w:vAlign w:val="center"/>
          </w:tcPr>
          <w:p w14:paraId="1BB0CD6E">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2024年2月底</w:t>
            </w:r>
          </w:p>
        </w:tc>
        <w:tc>
          <w:tcPr>
            <w:tcW w:w="1950" w:type="dxa"/>
            <w:gridSpan w:val="2"/>
            <w:vAlign w:val="center"/>
          </w:tcPr>
          <w:p w14:paraId="50A79A21">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c>
          <w:tcPr>
            <w:tcW w:w="900" w:type="dxa"/>
            <w:vAlign w:val="center"/>
          </w:tcPr>
          <w:p w14:paraId="1C837E2A">
            <w:pPr>
              <w:keepNext w:val="0"/>
              <w:keepLines w:val="0"/>
              <w:widowControl/>
              <w:suppressLineNumbers w:val="0"/>
              <w:jc w:val="center"/>
              <w:rPr>
                <w:rFonts w:hint="eastAsia" w:ascii="仿宋_GB2312" w:hAnsi="仿宋_GB2312" w:eastAsia="仿宋_GB2312" w:cs="仿宋_GB2312"/>
                <w:color w:val="auto"/>
                <w:sz w:val="24"/>
                <w:szCs w:val="24"/>
                <w:vertAlign w:val="baseline"/>
                <w:lang w:val="en-US" w:eastAsia="zh-CN"/>
              </w:rPr>
            </w:pPr>
          </w:p>
        </w:tc>
      </w:tr>
    </w:tbl>
    <w:p w14:paraId="56C54D03">
      <w:pPr>
        <w:pStyle w:val="2"/>
        <w:ind w:left="0" w:leftChars="0" w:firstLine="0" w:firstLineChars="0"/>
        <w:rPr>
          <w:u w:val="none"/>
        </w:rPr>
        <w:sectPr>
          <w:pgSz w:w="16838" w:h="11906" w:orient="landscape"/>
          <w:pgMar w:top="1800" w:right="1440" w:bottom="1800" w:left="1440" w:header="851" w:footer="992" w:gutter="0"/>
          <w:pgNumType w:fmt="numberInDash"/>
          <w:cols w:space="425" w:num="1"/>
          <w:docGrid w:type="lines" w:linePitch="312" w:charSpace="0"/>
        </w:sectPr>
      </w:pPr>
    </w:p>
    <w:p w14:paraId="2441B462">
      <w:pPr>
        <w:pStyle w:val="2"/>
        <w:rPr>
          <w:u w:val="none"/>
        </w:rPr>
      </w:pPr>
    </w:p>
    <w:p w14:paraId="76A3C853">
      <w:pPr>
        <w:pStyle w:val="2"/>
        <w:rPr>
          <w:u w:val="none"/>
        </w:rPr>
      </w:pPr>
    </w:p>
    <w:p w14:paraId="79AEC5BB">
      <w:pPr>
        <w:pStyle w:val="2"/>
        <w:rPr>
          <w:u w:val="none"/>
        </w:rPr>
      </w:pPr>
    </w:p>
    <w:p w14:paraId="35949E57">
      <w:pPr>
        <w:pStyle w:val="2"/>
        <w:rPr>
          <w:u w:val="none"/>
        </w:rPr>
      </w:pPr>
    </w:p>
    <w:p w14:paraId="3961CEA9">
      <w:pPr>
        <w:pStyle w:val="2"/>
        <w:rPr>
          <w:u w:val="none"/>
        </w:rPr>
      </w:pPr>
    </w:p>
    <w:p w14:paraId="0F248DD3">
      <w:pPr>
        <w:pStyle w:val="2"/>
        <w:rPr>
          <w:u w:val="none"/>
        </w:rPr>
      </w:pPr>
    </w:p>
    <w:p w14:paraId="75858277">
      <w:pPr>
        <w:pStyle w:val="2"/>
        <w:rPr>
          <w:u w:val="none"/>
        </w:rPr>
      </w:pPr>
    </w:p>
    <w:p w14:paraId="3E2391D1">
      <w:pPr>
        <w:pStyle w:val="2"/>
        <w:ind w:left="0" w:leftChars="0" w:firstLine="0" w:firstLineChars="0"/>
        <w:rPr>
          <w:u w:val="none"/>
        </w:rPr>
      </w:pPr>
    </w:p>
    <w:p w14:paraId="39524656">
      <w:pPr>
        <w:pStyle w:val="2"/>
        <w:ind w:left="0" w:leftChars="0" w:firstLine="0" w:firstLineChars="0"/>
        <w:rPr>
          <w:u w:val="none"/>
        </w:rPr>
      </w:pPr>
    </w:p>
    <w:p w14:paraId="49B886B1">
      <w:pPr>
        <w:pStyle w:val="2"/>
        <w:ind w:left="0" w:leftChars="0" w:firstLine="0" w:firstLineChars="0"/>
        <w:rPr>
          <w:u w:val="none"/>
        </w:rPr>
      </w:pPr>
    </w:p>
    <w:p w14:paraId="10455BDB">
      <w:pPr>
        <w:pStyle w:val="2"/>
        <w:ind w:left="0" w:leftChars="0" w:firstLine="0" w:firstLineChars="0"/>
        <w:rPr>
          <w:u w:val="none"/>
        </w:rPr>
      </w:pPr>
    </w:p>
    <w:p w14:paraId="2A27D429">
      <w:pPr>
        <w:pStyle w:val="2"/>
        <w:ind w:left="0" w:leftChars="0" w:firstLine="0" w:firstLineChars="0"/>
        <w:rPr>
          <w:u w:val="none"/>
        </w:rPr>
      </w:pPr>
    </w:p>
    <w:p w14:paraId="192D7EEE">
      <w:pPr>
        <w:pStyle w:val="2"/>
        <w:ind w:left="0" w:leftChars="0" w:firstLine="0" w:firstLineChars="0"/>
        <w:rPr>
          <w:u w:val="none"/>
        </w:rPr>
      </w:pPr>
    </w:p>
    <w:p w14:paraId="38F1ACE9">
      <w:pPr>
        <w:pStyle w:val="2"/>
        <w:ind w:left="0" w:leftChars="0" w:firstLine="0" w:firstLineChars="0"/>
        <w:rPr>
          <w:u w:val="none"/>
        </w:rPr>
      </w:pPr>
    </w:p>
    <w:p w14:paraId="5BD86D09">
      <w:pPr>
        <w:pStyle w:val="2"/>
        <w:ind w:left="0" w:leftChars="0" w:firstLine="0" w:firstLineChars="0"/>
        <w:rPr>
          <w:u w:val="none"/>
        </w:rPr>
      </w:pPr>
    </w:p>
    <w:p w14:paraId="3787D12E">
      <w:pPr>
        <w:pStyle w:val="2"/>
        <w:ind w:left="0" w:leftChars="0" w:firstLine="0" w:firstLineChars="0"/>
        <w:rPr>
          <w:u w:val="none"/>
        </w:rPr>
      </w:pPr>
    </w:p>
    <w:p w14:paraId="4F5958A9">
      <w:pPr>
        <w:pStyle w:val="2"/>
        <w:ind w:left="0" w:leftChars="0" w:firstLine="0" w:firstLineChars="0"/>
        <w:rPr>
          <w:u w:val="none"/>
        </w:rPr>
      </w:pPr>
    </w:p>
    <w:p w14:paraId="58632C6E">
      <w:pPr>
        <w:pStyle w:val="2"/>
        <w:ind w:left="0" w:leftChars="0" w:firstLine="0" w:firstLineChars="0"/>
        <w:rPr>
          <w:u w:val="none"/>
        </w:rPr>
      </w:pPr>
    </w:p>
    <w:p w14:paraId="1FC6EC42">
      <w:pPr>
        <w:pStyle w:val="2"/>
        <w:ind w:left="0" w:leftChars="0" w:firstLine="0" w:firstLineChars="0"/>
        <w:rPr>
          <w:u w:val="none"/>
        </w:rPr>
      </w:pPr>
    </w:p>
    <w:p w14:paraId="5621962F">
      <w:pPr>
        <w:pStyle w:val="2"/>
        <w:ind w:left="0" w:leftChars="0" w:firstLine="0" w:firstLineChars="0"/>
        <w:rPr>
          <w:u w:val="none"/>
        </w:rPr>
      </w:pPr>
    </w:p>
    <w:p w14:paraId="291A4EC0">
      <w:pPr>
        <w:pStyle w:val="2"/>
        <w:ind w:left="0" w:leftChars="0" w:firstLine="0" w:firstLineChars="0"/>
        <w:rPr>
          <w:u w:val="none"/>
        </w:rPr>
      </w:pPr>
    </w:p>
    <w:p w14:paraId="01B65D6A">
      <w:pPr>
        <w:pStyle w:val="2"/>
        <w:ind w:left="0" w:leftChars="0" w:firstLine="0" w:firstLineChars="0"/>
        <w:rPr>
          <w:u w:val="none"/>
        </w:rPr>
      </w:pPr>
    </w:p>
    <w:p w14:paraId="730AE8AB">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41pt;z-index:251660288;mso-width-relative:page;mso-height-relative:page;" filled="f" stroked="t" coordsize="21600,21600" o:gfxdata="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FJxTRAAAABAEAAA8AAAAAAAAAAQAgAAAAIgAAAGRycy9kb3ducmV2LnhtbFBLAQIUABQAAAAI&#10;AIdO4kDnZXhJ9AEAAOQDAAAOAAAAAAAAAAEAIAAAACABAABkcnMvZTJvRG9jLnhtbFBLBQYAAAAA&#10;BgAGAFkBAACGBQAAAAA=&#10;">
                <v:fill on="f" focussize="0,0"/>
                <v:stroke color="#000000" joinstyle="round"/>
                <v:imagedata o:title=""/>
                <o:lock v:ext="edit" aspectratio="f"/>
              </v:line>
            </w:pict>
          </mc:Fallback>
        </mc:AlternateContent>
      </w:r>
      <w:r>
        <w:rPr>
          <w:rFonts w:hint="eastAsia"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405765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95pt;height:0pt;width:441pt;z-index:251659264;mso-width-relative:page;mso-height-relative:page;" filled="f" stroked="t" coordsize="21600,21600" o:gfxdata="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ZbPS9Jc3PuKh4s+&#10;YHwtnWHJqLlWNnGGCnZvMFIyCr0PScfasqHm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yIVBjTAAAABgEAAA8AAAAAAAAAAQAgAAAAIgAAAGRycy9kb3ducmV2LnhtbFBLAQIUABQA&#10;AAAIAIdO4kDFs7CT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 w:eastAsia="仿宋_GB2312"/>
          <w:sz w:val="28"/>
          <w:szCs w:val="28"/>
        </w:rPr>
        <w:t xml:space="preserve">晋城市生态环境局办公室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w:t>
      </w:r>
      <w:r>
        <w:rPr>
          <w:rFonts w:hint="eastAsia" w:ascii="仿宋_GB2312" w:hAnsi="仿宋" w:eastAsia="仿宋_GB2312"/>
          <w:sz w:val="28"/>
          <w:szCs w:val="28"/>
          <w:lang w:val="en-US" w:eastAsia="zh-CN"/>
        </w:rPr>
        <w:t>11</w:t>
      </w:r>
      <w:r>
        <w:rPr>
          <w:rFonts w:hint="eastAsia" w:ascii="仿宋_GB2312" w:hAnsi="仿宋" w:eastAsia="仿宋_GB2312"/>
          <w:sz w:val="28"/>
          <w:szCs w:val="28"/>
        </w:rPr>
        <w:t>月</w:t>
      </w:r>
      <w:r>
        <w:rPr>
          <w:rFonts w:hint="eastAsia" w:ascii="仿宋_GB2312" w:hAnsi="仿宋" w:eastAsia="仿宋_GB2312"/>
          <w:sz w:val="28"/>
          <w:szCs w:val="28"/>
          <w:lang w:val="en-US" w:eastAsia="zh-CN"/>
        </w:rPr>
        <w:t>27</w:t>
      </w:r>
      <w:r>
        <w:rPr>
          <w:rFonts w:hint="eastAsia" w:ascii="仿宋_GB2312" w:hAnsi="仿宋" w:eastAsia="仿宋_GB2312"/>
          <w:sz w:val="28"/>
          <w:szCs w:val="28"/>
        </w:rPr>
        <w:t>日印发</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FZFangSong-Z02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53C4">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3AA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333AA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NDUyZTAwNjUxMmQ1M2FhZGQzZmEzZmY3OWQzNWUifQ=="/>
  </w:docVars>
  <w:rsids>
    <w:rsidRoot w:val="00000000"/>
    <w:rsid w:val="001F1044"/>
    <w:rsid w:val="002C4449"/>
    <w:rsid w:val="010D2D0B"/>
    <w:rsid w:val="01284C10"/>
    <w:rsid w:val="017A0B01"/>
    <w:rsid w:val="030A6CC4"/>
    <w:rsid w:val="03404493"/>
    <w:rsid w:val="04117BDE"/>
    <w:rsid w:val="04293179"/>
    <w:rsid w:val="05393890"/>
    <w:rsid w:val="06521EFB"/>
    <w:rsid w:val="08A14E55"/>
    <w:rsid w:val="08C07E24"/>
    <w:rsid w:val="096E59C3"/>
    <w:rsid w:val="09D92F4C"/>
    <w:rsid w:val="0A0D0E47"/>
    <w:rsid w:val="0B114967"/>
    <w:rsid w:val="0EC20B6F"/>
    <w:rsid w:val="0ED63EFE"/>
    <w:rsid w:val="12F708E7"/>
    <w:rsid w:val="138A3509"/>
    <w:rsid w:val="15E74C42"/>
    <w:rsid w:val="196F11D7"/>
    <w:rsid w:val="1A3441CE"/>
    <w:rsid w:val="1BA15893"/>
    <w:rsid w:val="1BB76E65"/>
    <w:rsid w:val="1D0F6E9D"/>
    <w:rsid w:val="1E4F370B"/>
    <w:rsid w:val="1EC82C6A"/>
    <w:rsid w:val="20A7394C"/>
    <w:rsid w:val="21FA5CFD"/>
    <w:rsid w:val="22066450"/>
    <w:rsid w:val="22953C16"/>
    <w:rsid w:val="234B4A63"/>
    <w:rsid w:val="23D83E1C"/>
    <w:rsid w:val="2409047A"/>
    <w:rsid w:val="259F0171"/>
    <w:rsid w:val="274719E5"/>
    <w:rsid w:val="27643090"/>
    <w:rsid w:val="284101E2"/>
    <w:rsid w:val="290608B5"/>
    <w:rsid w:val="29374638"/>
    <w:rsid w:val="29B03871"/>
    <w:rsid w:val="2A994305"/>
    <w:rsid w:val="2B070462"/>
    <w:rsid w:val="2B176EBC"/>
    <w:rsid w:val="2C6721E1"/>
    <w:rsid w:val="2CEF2903"/>
    <w:rsid w:val="2D93072E"/>
    <w:rsid w:val="2E4E2995"/>
    <w:rsid w:val="31B00187"/>
    <w:rsid w:val="375F5FDE"/>
    <w:rsid w:val="383C4522"/>
    <w:rsid w:val="38F911DD"/>
    <w:rsid w:val="3A74282E"/>
    <w:rsid w:val="3ABF3EAB"/>
    <w:rsid w:val="3B441D68"/>
    <w:rsid w:val="3BAB5307"/>
    <w:rsid w:val="3BE178BA"/>
    <w:rsid w:val="3C591B47"/>
    <w:rsid w:val="3C5A58BF"/>
    <w:rsid w:val="3D6A7D83"/>
    <w:rsid w:val="3D7C3183"/>
    <w:rsid w:val="3E425B26"/>
    <w:rsid w:val="3ED173E1"/>
    <w:rsid w:val="3F630115"/>
    <w:rsid w:val="3FA0183A"/>
    <w:rsid w:val="40646634"/>
    <w:rsid w:val="42905B96"/>
    <w:rsid w:val="4344734D"/>
    <w:rsid w:val="440305EA"/>
    <w:rsid w:val="44F22B38"/>
    <w:rsid w:val="46274A64"/>
    <w:rsid w:val="46F32D69"/>
    <w:rsid w:val="46FA13FB"/>
    <w:rsid w:val="47D803D9"/>
    <w:rsid w:val="48DD765B"/>
    <w:rsid w:val="491B2784"/>
    <w:rsid w:val="4A957D39"/>
    <w:rsid w:val="4C5C577C"/>
    <w:rsid w:val="4C6044D9"/>
    <w:rsid w:val="4CF84A64"/>
    <w:rsid w:val="4E44337D"/>
    <w:rsid w:val="4FFA48A2"/>
    <w:rsid w:val="50EA7DBE"/>
    <w:rsid w:val="51F37EF0"/>
    <w:rsid w:val="52AD70D8"/>
    <w:rsid w:val="550A5C7C"/>
    <w:rsid w:val="555B719B"/>
    <w:rsid w:val="58EE1AB9"/>
    <w:rsid w:val="5AAA29BD"/>
    <w:rsid w:val="5AB700BF"/>
    <w:rsid w:val="5BBC75A4"/>
    <w:rsid w:val="5BD25013"/>
    <w:rsid w:val="5C0F697F"/>
    <w:rsid w:val="5EE44E48"/>
    <w:rsid w:val="5F73151B"/>
    <w:rsid w:val="608D150F"/>
    <w:rsid w:val="60DF1D6B"/>
    <w:rsid w:val="612535D2"/>
    <w:rsid w:val="613D4CE3"/>
    <w:rsid w:val="61891CD7"/>
    <w:rsid w:val="62F13FD7"/>
    <w:rsid w:val="638429A7"/>
    <w:rsid w:val="647B69FF"/>
    <w:rsid w:val="65292097"/>
    <w:rsid w:val="659F1047"/>
    <w:rsid w:val="67786A75"/>
    <w:rsid w:val="684D5CF1"/>
    <w:rsid w:val="68806433"/>
    <w:rsid w:val="69BE2739"/>
    <w:rsid w:val="6A2512DB"/>
    <w:rsid w:val="6C757A27"/>
    <w:rsid w:val="6DEF55B7"/>
    <w:rsid w:val="6E796078"/>
    <w:rsid w:val="6F6D49E6"/>
    <w:rsid w:val="6F950B96"/>
    <w:rsid w:val="70C1148D"/>
    <w:rsid w:val="71791D68"/>
    <w:rsid w:val="74D744C5"/>
    <w:rsid w:val="774A385E"/>
    <w:rsid w:val="77AD6C2E"/>
    <w:rsid w:val="7899570A"/>
    <w:rsid w:val="78B454AF"/>
    <w:rsid w:val="7A345FF0"/>
    <w:rsid w:val="7D052701"/>
    <w:rsid w:val="7D20753B"/>
    <w:rsid w:val="7DB50DEE"/>
    <w:rsid w:val="7F006409"/>
    <w:rsid w:val="7FC9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2"/>
    <w:basedOn w:val="3"/>
    <w:qFormat/>
    <w:uiPriority w:val="0"/>
    <w:pPr>
      <w:widowControl/>
      <w:spacing w:before="0" w:beforeLines="0" w:beforeAutospacing="0" w:after="0" w:afterLines="0" w:afterAutospacing="0" w:line="600" w:lineRule="exact"/>
      <w:ind w:firstLine="200" w:firstLineChars="200"/>
      <w:jc w:val="both"/>
    </w:pPr>
    <w:rPr>
      <w:rFonts w:ascii="Times New Roman" w:hAnsi="Times New Roman" w:eastAsia="仿宋_GB2312"/>
      <w:kern w:val="2"/>
      <w:sz w:val="32"/>
      <w:szCs w:val="32"/>
    </w:rPr>
  </w:style>
  <w:style w:type="paragraph" w:styleId="3">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5393</Words>
  <Characters>5429</Characters>
  <Lines>0</Lines>
  <Paragraphs>0</Paragraphs>
  <TotalTime>208</TotalTime>
  <ScaleCrop>false</ScaleCrop>
  <LinksUpToDate>false</LinksUpToDate>
  <CharactersWithSpaces>5435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2023-11-27T01:19:00Z</dcterms:created>
  <dc:creator>Zhao</dc:creator>
  <cp:lastModifiedBy>WPS_1528982113</cp:lastModifiedBy>
  <cp:lastPrinted>2023-11-29T08:15:00Z</cp:lastPrinted>
  <dcterms:modified xsi:type="dcterms:W3CDTF">2024-12-24T09:59:26Z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C7D01707170941FB85407795481D94E3_13</vt:lpwstr>
  </property>
</Properties>
</file>